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01.png" ContentType="image/png"/>
  <Override PartName="/word/media/rId105.png" ContentType="image/png"/>
  <Override PartName="/word/media/rId109.png" ContentType="image/png"/>
  <Override PartName="/word/media/rId113.png" ContentType="image/png"/>
  <Override PartName="/word/media/rId117.png" ContentType="image/png"/>
  <Override PartName="/word/media/rId121.png" ContentType="image/png"/>
  <Override PartName="/word/media/rId125.png" ContentType="image/png"/>
  <Override PartName="/word/media/rId129.png" ContentType="image/png"/>
  <Override PartName="/word/media/rId133.png" ContentType="image/png"/>
  <Override PartName="/word/media/rId41.png" ContentType="image/png"/>
  <Override PartName="/word/media/rId45.png" ContentType="image/png"/>
  <Override PartName="/word/media/rId49.png" ContentType="image/png"/>
  <Override PartName="/word/media/rId29.png" ContentType="image/png"/>
  <Override PartName="/word/media/rId53.png" ContentType="image/png"/>
  <Override PartName="/word/media/rId57.png" ContentType="image/png"/>
  <Override PartName="/word/media/rId61.png" ContentType="image/png"/>
  <Override PartName="/word/media/rId65.png" ContentType="image/png"/>
  <Override PartName="/word/media/rId69.png" ContentType="image/png"/>
  <Override PartName="/word/media/rId73.png" ContentType="image/png"/>
  <Override PartName="/word/media/rId33.png" ContentType="image/png"/>
  <Override PartName="/word/media/rId37.png" ContentType="image/png"/>
  <Override PartName="/word/media/rId85.png" ContentType="image/png"/>
  <Override PartName="/word/media/rId89.png" ContentType="image/png"/>
  <Override PartName="/word/media/rId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Quantitative strategies on High Frequency Data</w:t>
      </w:r>
    </w:p>
    <w:p>
      <w:pPr>
        <w:pStyle w:val="Subtitle"/>
      </w:pPr>
      <w:r>
        <w:t xml:space="preserve">Final report</w:t>
      </w:r>
    </w:p>
    <w:p>
      <w:pPr>
        <w:pStyle w:val="Author"/>
      </w:pPr>
      <w:r>
        <w:t xml:space="preserve">Sujith Madesh and Kacper Mosoń</w:t>
      </w:r>
    </w:p>
    <w:p>
      <w:pPr>
        <w:pStyle w:val="Date"/>
      </w:pPr>
      <w:r>
        <w:t xml:space="preserve">Jan 24, 2026</w:t>
      </w:r>
    </w:p>
    <w:bookmarkStart w:id="77" w:name="group-1"/>
    <w:p>
      <w:pPr>
        <w:pStyle w:val="Heading1"/>
      </w:pPr>
      <w:r>
        <w:t xml:space="preserve">Group 1</w:t>
      </w:r>
    </w:p>
    <w:bookmarkStart w:id="24" w:name="approaches-undertaken"/>
    <w:p>
      <w:pPr>
        <w:pStyle w:val="Heading2"/>
      </w:pPr>
      <w:r>
        <w:t xml:space="preserve">Approaches undertaken</w:t>
      </w:r>
    </w:p>
    <w:p>
      <w:pPr>
        <w:pStyle w:val="FirstParagraph"/>
      </w:pPr>
      <w:r>
        <w:t xml:space="preserve">We tested three intraday, rule‑based strategies on high‑frequency futures data for</w:t>
      </w:r>
      <w:r>
        <w:t xml:space="preserve"> </w:t>
      </w:r>
      <w:r>
        <w:rPr>
          <w:b/>
          <w:bCs/>
        </w:rPr>
        <w:t xml:space="preserve">Group 1 (NQ, SP)</w:t>
      </w:r>
      <w:r>
        <w:t xml:space="preserve">. For each strategy we evaluate performance</w:t>
      </w:r>
      <w:r>
        <w:t xml:space="preserve"> </w:t>
      </w:r>
      <w:r>
        <w:rPr>
          <w:b/>
          <w:bCs/>
        </w:rPr>
        <w:t xml:space="preserve">quarter by quarter</w:t>
      </w:r>
      <w:r>
        <w:t xml:space="preserve">, report gross vs net metrics (with transaction costs), and select a final parameter set using an explicit</w:t>
      </w:r>
      <w:r>
        <w:t xml:space="preserve"> </w:t>
      </w:r>
      <w:r>
        <w:rPr>
          <w:b/>
          <w:bCs/>
        </w:rPr>
        <w:t xml:space="preserve">in‑sample</w:t>
      </w:r>
      <w:r>
        <w:t xml:space="preserve"> </w:t>
      </w:r>
      <w:r>
        <w:t xml:space="preserve">period to avoid look‑ahead.</w:t>
      </w:r>
    </w:p>
    <w:bookmarkStart w:id="20" w:name="X644b6099a7ff6c4b4b45827ea7fab866680c686"/>
    <w:p>
      <w:pPr>
        <w:pStyle w:val="Heading3"/>
      </w:pPr>
      <w:r>
        <w:t xml:space="preserve">Common assumptions (applied to all strategies)</w:t>
      </w:r>
    </w:p>
    <w:p>
      <w:pPr>
        <w:pStyle w:val="Compact"/>
        <w:numPr>
          <w:ilvl w:val="0"/>
          <w:numId w:val="1001"/>
        </w:numPr>
      </w:pPr>
      <w:r>
        <w:rPr>
          <w:b/>
          <w:bCs/>
        </w:rPr>
        <w:t xml:space="preserve">No look‑ahead:</w:t>
      </w:r>
      <w:r>
        <w:t xml:space="preserve"> </w:t>
      </w:r>
      <w:r>
        <w:t xml:space="preserve">signals are translated into positions with a one‑bar delay (we only trade using information available at t−1).</w:t>
      </w:r>
    </w:p>
    <w:p>
      <w:pPr>
        <w:pStyle w:val="Compact"/>
        <w:numPr>
          <w:ilvl w:val="0"/>
          <w:numId w:val="1001"/>
        </w:numPr>
      </w:pPr>
      <w:r>
        <w:rPr>
          <w:b/>
          <w:bCs/>
        </w:rPr>
        <w:t xml:space="preserve">Trading window constraints / filtering:</w:t>
      </w:r>
      <w:r>
        <w:t xml:space="preserve"> </w:t>
      </w:r>
      <w:r>
        <w:t xml:space="preserve">we use a</w:t>
      </w:r>
      <w:r>
        <w:t xml:space="preserve"> </w:t>
      </w:r>
      <w:r>
        <w:rPr>
          <w:rStyle w:val="VerbatimChar"/>
        </w:rPr>
        <w:t xml:space="preserve">no_trade</w:t>
      </w:r>
      <w:r>
        <w:t xml:space="preserve"> </w:t>
      </w:r>
      <w:r>
        <w:t xml:space="preserve">flag (built during data preparation) to force positions flat around the open/close and other excluded minutes. When</w:t>
      </w:r>
      <w:r>
        <w:t xml:space="preserve"> </w:t>
      </w:r>
      <w:r>
        <w:rPr>
          <w:rStyle w:val="VerbatimChar"/>
        </w:rPr>
        <w:t xml:space="preserve">no_trade==1</w:t>
      </w:r>
      <w:r>
        <w:t xml:space="preserve">, position is set to 0.</w:t>
      </w:r>
    </w:p>
    <w:p>
      <w:pPr>
        <w:pStyle w:val="Compact"/>
        <w:numPr>
          <w:ilvl w:val="0"/>
          <w:numId w:val="1001"/>
        </w:numPr>
      </w:pPr>
      <w:r>
        <w:rPr>
          <w:b/>
          <w:bCs/>
        </w:rPr>
        <w:t xml:space="preserve">Transaction costs:</w:t>
      </w:r>
      <w:r>
        <w:t xml:space="preserve"> </w:t>
      </w:r>
      <w:r>
        <w:t xml:space="preserve">each position change incurs a fixed per‑contract cost; we report both</w:t>
      </w:r>
      <w:r>
        <w:t xml:space="preserve"> </w:t>
      </w:r>
      <w:r>
        <w:rPr>
          <w:b/>
          <w:bCs/>
        </w:rPr>
        <w:t xml:space="preserve">gross</w:t>
      </w:r>
      <w:r>
        <w:t xml:space="preserve"> </w:t>
      </w:r>
      <w:r>
        <w:t xml:space="preserve">and</w:t>
      </w:r>
      <w:r>
        <w:t xml:space="preserve"> </w:t>
      </w:r>
      <w:r>
        <w:rPr>
          <w:b/>
          <w:bCs/>
        </w:rPr>
        <w:t xml:space="preserve">net</w:t>
      </w:r>
      <w:r>
        <w:t xml:space="preserve"> </w:t>
      </w:r>
      <w:r>
        <w:t xml:space="preserve">PnL/Sharpe/Calmar.</w:t>
      </w:r>
    </w:p>
    <w:p>
      <w:pPr>
        <w:pStyle w:val="Compact"/>
        <w:numPr>
          <w:ilvl w:val="0"/>
          <w:numId w:val="1001"/>
        </w:numPr>
      </w:pPr>
      <w:r>
        <w:rPr>
          <w:b/>
          <w:bCs/>
        </w:rPr>
        <w:t xml:space="preserve">Aggregation:</w:t>
      </w:r>
      <w:r>
        <w:t xml:space="preserve"> </w:t>
      </w:r>
      <w:r>
        <w:t xml:space="preserve">minute PnL is aggregated to daily PnL to compute Sharpe ratio and drawdowns more robustly.</w:t>
      </w:r>
    </w:p>
    <w:bookmarkEnd w:id="20"/>
    <w:bookmarkStart w:id="22" w:name="group-1-nq-sp-strategies-considered"/>
    <w:p>
      <w:pPr>
        <w:pStyle w:val="Heading3"/>
      </w:pPr>
      <w:r>
        <w:t xml:space="preserve">Group 1 (NQ, SP): strategies considered</w:t>
      </w:r>
    </w:p>
    <w:p>
      <w:pPr>
        <w:pStyle w:val="FirstParagraph"/>
      </w:pPr>
      <w:r>
        <w:rPr>
          <w:b/>
          <w:bCs/>
        </w:rPr>
        <w:t xml:space="preserve">Strategy 1 — EMA crossover (trend following)</w:t>
      </w:r>
    </w:p>
    <w:p>
      <w:pPr>
        <w:pStyle w:val="Compact"/>
        <w:numPr>
          <w:ilvl w:val="0"/>
          <w:numId w:val="1002"/>
        </w:numPr>
      </w:pPr>
      <w:r>
        <w:rPr>
          <w:b/>
          <w:bCs/>
        </w:rPr>
        <w:t xml:space="preserve">Signal:</w:t>
      </w:r>
      <w:r>
        <w:t xml:space="preserve"> </w:t>
      </w:r>
      <w:r>
        <w:t xml:space="preserve">fast EMA vs slow EMA on price.</w:t>
      </w:r>
    </w:p>
    <w:p>
      <w:pPr>
        <w:pStyle w:val="Compact"/>
        <w:numPr>
          <w:ilvl w:val="0"/>
          <w:numId w:val="1002"/>
        </w:numPr>
      </w:pPr>
      <w:r>
        <w:rPr>
          <w:b/>
          <w:bCs/>
        </w:rPr>
        <w:t xml:space="preserve">Entry/exit:</w:t>
      </w:r>
      <w:r>
        <w:t xml:space="preserve"> </w:t>
      </w:r>
      <w:r>
        <w:t xml:space="preserve">go long when fast EMA crosses above slow EMA; go short when fast crosses below slow (position flips on crossing).</w:t>
      </w:r>
    </w:p>
    <w:p>
      <w:pPr>
        <w:pStyle w:val="Compact"/>
        <w:numPr>
          <w:ilvl w:val="0"/>
          <w:numId w:val="1002"/>
        </w:numPr>
      </w:pPr>
      <w:r>
        <w:rPr>
          <w:b/>
          <w:bCs/>
        </w:rPr>
        <w:t xml:space="preserve">Parameters searched (grid):</w:t>
      </w:r>
    </w:p>
    <w:p>
      <w:pPr>
        <w:pStyle w:val="Compact"/>
        <w:numPr>
          <w:ilvl w:val="1"/>
          <w:numId w:val="1003"/>
        </w:numPr>
      </w:pPr>
      <w:r>
        <w:rPr>
          <w:rStyle w:val="VerbatimChar"/>
        </w:rPr>
        <w:t xml:space="preserve">fastEMA ∈ {15, 20, 30, 45, 60, 75}</w:t>
      </w:r>
    </w:p>
    <w:p>
      <w:pPr>
        <w:pStyle w:val="Compact"/>
        <w:numPr>
          <w:ilvl w:val="1"/>
          <w:numId w:val="1003"/>
        </w:numPr>
      </w:pPr>
      <w:r>
        <w:rPr>
          <w:rStyle w:val="VerbatimChar"/>
        </w:rPr>
        <w:t xml:space="preserve">slowEMA ∈ {90, 120, 150, 180, 240, 300, 360}</w:t>
      </w:r>
    </w:p>
    <w:p>
      <w:pPr>
        <w:pStyle w:val="Compact"/>
        <w:numPr>
          <w:ilvl w:val="1"/>
          <w:numId w:val="1003"/>
        </w:numPr>
      </w:pPr>
      <w:r>
        <w:t xml:space="preserve">Constraint</w:t>
      </w:r>
      <w:r>
        <w:t xml:space="preserve"> </w:t>
      </w:r>
      <w:r>
        <w:rPr>
          <w:rStyle w:val="VerbatimChar"/>
        </w:rPr>
        <w:t xml:space="preserve">fastEMA &lt; slowEMA</w:t>
      </w:r>
    </w:p>
    <w:p>
      <w:pPr>
        <w:pStyle w:val="Compact"/>
        <w:numPr>
          <w:ilvl w:val="0"/>
          <w:numId w:val="1002"/>
        </w:numPr>
      </w:pPr>
      <w:r>
        <w:rPr>
          <w:b/>
          <w:bCs/>
        </w:rPr>
        <w:t xml:space="preserve">Variants:</w:t>
      </w:r>
      <w:r>
        <w:t xml:space="preserve"> </w:t>
      </w:r>
      <w:r>
        <w:t xml:space="preserve">we evaluate both</w:t>
      </w:r>
      <w:r>
        <w:t xml:space="preserve"> </w:t>
      </w:r>
      <w:r>
        <w:rPr>
          <w:b/>
          <w:bCs/>
        </w:rPr>
        <w:t xml:space="preserve">MOM</w:t>
      </w:r>
      <w:r>
        <w:t xml:space="preserve"> </w:t>
      </w:r>
      <w:r>
        <w:t xml:space="preserve">(trend-following) and</w:t>
      </w:r>
      <w:r>
        <w:t xml:space="preserve"> </w:t>
      </w:r>
      <w:r>
        <w:rPr>
          <w:b/>
          <w:bCs/>
        </w:rPr>
        <w:t xml:space="preserve">MR</w:t>
      </w:r>
      <w:r>
        <w:t xml:space="preserve"> </w:t>
      </w:r>
      <w:r>
        <w:t xml:space="preserve">(sign-flipped contrarian) using the same signal.</w:t>
      </w:r>
    </w:p>
    <w:p>
      <w:pPr>
        <w:pStyle w:val="FirstParagraph"/>
      </w:pPr>
      <w:r>
        <w:rPr>
          <w:b/>
          <w:bCs/>
        </w:rPr>
        <w:t xml:space="preserve">Strategy 2 — Volatility Breakout (VB 2.2: EMA + volatility bands)</w:t>
      </w:r>
    </w:p>
    <w:p>
      <w:pPr>
        <w:pStyle w:val="Compact"/>
        <w:numPr>
          <w:ilvl w:val="0"/>
          <w:numId w:val="1004"/>
        </w:numPr>
      </w:pPr>
      <w:r>
        <w:rPr>
          <w:b/>
          <w:bCs/>
        </w:rPr>
        <w:t xml:space="preserve">Signal:</w:t>
      </w:r>
      <w:r>
        <w:t xml:space="preserve"> </w:t>
      </w:r>
      <w:r>
        <w:t xml:space="preserve">fast EMA signal</w:t>
      </w:r>
      <w:r>
        <w:t xml:space="preserve"> </w:t>
      </w:r>
      <m:oMath>
        <m:sSub>
          <m:e>
            <m:r>
              <m:t>s</m:t>
            </m:r>
          </m:e>
          <m:sub>
            <m:r>
              <m:t>t</m:t>
            </m:r>
          </m:sub>
        </m:sSub>
      </m:oMath>
      <w:r>
        <w:t xml:space="preserve">, slow EMA center</w:t>
      </w:r>
      <w:r>
        <w:t xml:space="preserve"> </w:t>
      </w:r>
      <m:oMath>
        <m:sSub>
          <m:e>
            <m:r>
              <m:rPr>
                <m:sty m:val="p"/>
              </m:rPr>
              <m:t>ℓ</m:t>
            </m:r>
          </m:e>
          <m:sub>
            <m:r>
              <m:t>t</m:t>
            </m:r>
          </m:sub>
        </m:sSub>
      </m:oMath>
      <w:r>
        <w:t xml:space="preserve">, rolling volatility</w:t>
      </w:r>
      <w:r>
        <w:t xml:space="preserve"> </w:t>
      </w:r>
      <m:oMath>
        <m:sSub>
          <m:e>
            <m:r>
              <m:t>σ</m:t>
            </m:r>
          </m:e>
          <m:sub>
            <m:r>
              <m:t>t</m:t>
            </m:r>
          </m:sub>
        </m:sSub>
      </m:oMath>
      <w:r>
        <w:t xml:space="preserve">.</w:t>
      </w:r>
    </w:p>
    <w:p>
      <w:pPr>
        <w:pStyle w:val="Compact"/>
        <w:numPr>
          <w:ilvl w:val="0"/>
          <w:numId w:val="1004"/>
        </w:numPr>
      </w:pPr>
      <w:r>
        <w:rPr>
          <w:b/>
          <w:bCs/>
        </w:rPr>
        <w:t xml:space="preserve">Entry/exit:</w:t>
      </w:r>
      <w:r>
        <w:t xml:space="preserve"> </w:t>
      </w:r>
      <w:r>
        <w:t xml:space="preserve">enter when</w:t>
      </w:r>
      <w:r>
        <w:t xml:space="preserve"> </w:t>
      </w:r>
      <m:oMath>
        <m:sSub>
          <m:e>
            <m:r>
              <m:t>s</m:t>
            </m:r>
          </m:e>
          <m:sub>
            <m:r>
              <m:t>t</m:t>
            </m:r>
          </m:sub>
        </m:sSub>
      </m:oMath>
      <w:r>
        <w:t xml:space="preserve"> </w:t>
      </w:r>
      <w:r>
        <w:t xml:space="preserve">breaks above</w:t>
      </w:r>
      <w:r>
        <w:t xml:space="preserve"> </w:t>
      </w:r>
      <m:oMath>
        <m:sSub>
          <m:e>
            <m:r>
              <m:t>U</m:t>
            </m:r>
          </m:e>
          <m:sub>
            <m:r>
              <m:t>t</m:t>
            </m:r>
          </m:sub>
        </m:sSub>
        <m:r>
          <m:rPr>
            <m:sty m:val="p"/>
          </m:rPr>
          <m:t>=</m:t>
        </m:r>
        <m:sSub>
          <m:e>
            <m:r>
              <m:rPr>
                <m:sty m:val="p"/>
              </m:rPr>
              <m:t>ℓ</m:t>
            </m:r>
          </m:e>
          <m:sub>
            <m:r>
              <m:t>t</m:t>
            </m:r>
          </m:sub>
        </m:sSub>
        <m:r>
          <m:rPr>
            <m:sty m:val="p"/>
          </m:rPr>
          <m:t>+</m:t>
        </m:r>
        <m:r>
          <m:t>m</m:t>
        </m:r>
        <m:sSub>
          <m:e>
            <m:r>
              <m:t>σ</m:t>
            </m:r>
          </m:e>
          <m:sub>
            <m:r>
              <m:t>t</m:t>
            </m:r>
          </m:sub>
        </m:sSub>
      </m:oMath>
      <w:r>
        <w:t xml:space="preserve"> </w:t>
      </w:r>
      <w:r>
        <w:t xml:space="preserve">or below</w:t>
      </w:r>
      <w:r>
        <w:t xml:space="preserve"> </w:t>
      </w:r>
      <m:oMath>
        <m:sSub>
          <m:e>
            <m:r>
              <m:t>L</m:t>
            </m:r>
          </m:e>
          <m:sub>
            <m:r>
              <m:t>t</m:t>
            </m:r>
          </m:sub>
        </m:sSub>
        <m:r>
          <m:rPr>
            <m:sty m:val="p"/>
          </m:rPr>
          <m:t>=</m:t>
        </m:r>
        <m:sSub>
          <m:e>
            <m:r>
              <m:rPr>
                <m:sty m:val="p"/>
              </m:rPr>
              <m:t>ℓ</m:t>
            </m:r>
          </m:e>
          <m:sub>
            <m:r>
              <m:t>t</m:t>
            </m:r>
          </m:sub>
        </m:sSub>
        <m:r>
          <m:rPr>
            <m:sty m:val="p"/>
          </m:rPr>
          <m:t>−</m:t>
        </m:r>
        <m:r>
          <m:t>m</m:t>
        </m:r>
        <m:sSub>
          <m:e>
            <m:r>
              <m:t>σ</m:t>
            </m:r>
          </m:e>
          <m:sub>
            <m:r>
              <m:t>t</m:t>
            </m:r>
          </m:sub>
        </m:sSub>
      </m:oMath>
      <w:r>
        <w:t xml:space="preserve">; hold until the opposite band is crossed or the flat constraint forces exit.</w:t>
      </w:r>
    </w:p>
    <w:p>
      <w:pPr>
        <w:pStyle w:val="Compact"/>
        <w:numPr>
          <w:ilvl w:val="0"/>
          <w:numId w:val="1004"/>
        </w:numPr>
      </w:pPr>
      <w:r>
        <w:rPr>
          <w:b/>
          <w:bCs/>
        </w:rPr>
        <w:t xml:space="preserve">Variants:</w:t>
      </w:r>
    </w:p>
    <w:p>
      <w:pPr>
        <w:pStyle w:val="Compact"/>
        <w:numPr>
          <w:ilvl w:val="1"/>
          <w:numId w:val="1005"/>
        </w:numPr>
      </w:pPr>
      <w:r>
        <w:rPr>
          <w:b/>
          <w:bCs/>
        </w:rPr>
        <w:t xml:space="preserve">MOM:</w:t>
      </w:r>
      <w:r>
        <w:t xml:space="preserve"> </w:t>
      </w:r>
      <w:r>
        <w:t xml:space="preserve">follow the breakout direction.</w:t>
      </w:r>
    </w:p>
    <w:p>
      <w:pPr>
        <w:pStyle w:val="Compact"/>
        <w:numPr>
          <w:ilvl w:val="1"/>
          <w:numId w:val="1005"/>
        </w:numPr>
      </w:pPr>
      <w:r>
        <w:rPr>
          <w:b/>
          <w:bCs/>
        </w:rPr>
        <w:t xml:space="preserve">MR:</w:t>
      </w:r>
      <w:r>
        <w:t xml:space="preserve"> </w:t>
      </w:r>
      <w:r>
        <w:t xml:space="preserve">take the opposite side (fade the breakout) when the regime is mean‑reverting.</w:t>
      </w:r>
    </w:p>
    <w:p>
      <w:pPr>
        <w:pStyle w:val="Compact"/>
        <w:numPr>
          <w:ilvl w:val="0"/>
          <w:numId w:val="1004"/>
        </w:numPr>
      </w:pPr>
      <w:r>
        <w:rPr>
          <w:b/>
          <w:bCs/>
        </w:rPr>
        <w:t xml:space="preserve">Parameters searched (grid):</w:t>
      </w:r>
    </w:p>
    <w:p>
      <w:pPr>
        <w:pStyle w:val="Compact"/>
        <w:numPr>
          <w:ilvl w:val="1"/>
          <w:numId w:val="1006"/>
        </w:numPr>
      </w:pPr>
      <w:r>
        <w:rPr>
          <w:rStyle w:val="VerbatimChar"/>
        </w:rPr>
        <w:t xml:space="preserve">signalEMA ∈ {10, 20, 45, 60, 75, 90}</w:t>
      </w:r>
    </w:p>
    <w:p>
      <w:pPr>
        <w:pStyle w:val="Compact"/>
        <w:numPr>
          <w:ilvl w:val="1"/>
          <w:numId w:val="1006"/>
        </w:numPr>
      </w:pPr>
      <w:r>
        <w:rPr>
          <w:rStyle w:val="VerbatimChar"/>
        </w:rPr>
        <w:t xml:space="preserve">slowEMA ∈ {90, 120, 150, 180, 240}</w:t>
      </w:r>
      <w:r>
        <w:t xml:space="preserve"> </w:t>
      </w:r>
      <w:r>
        <w:t xml:space="preserve">with constraint</w:t>
      </w:r>
      <w:r>
        <w:t xml:space="preserve"> </w:t>
      </w:r>
      <w:r>
        <w:rPr>
          <w:rStyle w:val="VerbatimChar"/>
        </w:rPr>
        <w:t xml:space="preserve">signalEMA &lt; slowEMA</w:t>
      </w:r>
    </w:p>
    <w:p>
      <w:pPr>
        <w:pStyle w:val="Compact"/>
        <w:numPr>
          <w:ilvl w:val="1"/>
          <w:numId w:val="1006"/>
        </w:numPr>
      </w:pPr>
      <w:r>
        <w:rPr>
          <w:rStyle w:val="VerbatimChar"/>
        </w:rPr>
        <w:t xml:space="preserve">volat_sd ∈ {30, 60, 90}</w:t>
      </w:r>
      <w:r>
        <w:t xml:space="preserve"> </w:t>
      </w:r>
      <w:r>
        <w:t xml:space="preserve">(rolling standard deviation window)</w:t>
      </w:r>
    </w:p>
    <w:p>
      <w:pPr>
        <w:pStyle w:val="Compact"/>
        <w:numPr>
          <w:ilvl w:val="1"/>
          <w:numId w:val="1006"/>
        </w:numPr>
      </w:pPr>
      <w:r>
        <w:rPr>
          <w:rStyle w:val="VerbatimChar"/>
        </w:rPr>
        <w:t xml:space="preserve">m ∈ {1, 2, 3}</w:t>
      </w:r>
      <w:r>
        <w:t xml:space="preserve"> </w:t>
      </w:r>
      <w:r>
        <w:t xml:space="preserve">(band width multiplier)</w:t>
      </w:r>
    </w:p>
    <w:p>
      <w:pPr>
        <w:pStyle w:val="Compact"/>
        <w:numPr>
          <w:ilvl w:val="0"/>
          <w:numId w:val="1004"/>
        </w:numPr>
      </w:pPr>
      <w:r>
        <w:rPr>
          <w:b/>
          <w:bCs/>
        </w:rPr>
        <w:t xml:space="preserve">Implementation detail (our helper function):</w:t>
      </w:r>
      <w:r>
        <w:t xml:space="preserve"> </w:t>
      </w:r>
      <w:r>
        <w:t xml:space="preserve">instead of ad‑hoc position rules, we generate positions using our reusable helper</w:t>
      </w:r>
      <w:r>
        <w:t xml:space="preserve"> </w:t>
      </w:r>
      <w:r>
        <w:rPr>
          <w:rStyle w:val="VerbatimChar"/>
        </w:rPr>
        <w:t xml:space="preserve">positionVB</w:t>
      </w:r>
      <w:r>
        <w:t xml:space="preserve"> </w:t>
      </w:r>
      <w:r>
        <w:t xml:space="preserve">(see</w:t>
      </w:r>
      <w:r>
        <w:t xml:space="preserve"> </w:t>
      </w:r>
      <w:hyperlink r:id="rId21">
        <w:r>
          <w:rPr>
            <w:rStyle w:val="Hyperlink"/>
          </w:rPr>
          <w:t xml:space="preserve">functions/position_VB.py</w:t>
        </w:r>
      </w:hyperlink>
      <w:r>
        <w:t xml:space="preserve">). The function takes arrays for</w:t>
      </w:r>
      <w:r>
        <w:t xml:space="preserve"> </w:t>
      </w:r>
      <w:r>
        <w:rPr>
          <w:rStyle w:val="VerbatimChar"/>
        </w:rPr>
        <w:t xml:space="preserve">(signal, lower, upper, pos_flat, strategy)</w:t>
      </w:r>
      <w:r>
        <w:t xml:space="preserve"> </w:t>
      </w:r>
      <w:r>
        <w:t xml:space="preserve">and returns a stateful position series that:</w:t>
      </w:r>
    </w:p>
    <w:p>
      <w:pPr>
        <w:pStyle w:val="Compact"/>
        <w:numPr>
          <w:ilvl w:val="1"/>
          <w:numId w:val="1007"/>
        </w:numPr>
      </w:pPr>
      <w:r>
        <w:t xml:space="preserve">enforces forced-flat periods via</w:t>
      </w:r>
      <w:r>
        <w:t xml:space="preserve"> </w:t>
      </w:r>
      <w:r>
        <w:rPr>
          <w:rStyle w:val="VerbatimChar"/>
        </w:rPr>
        <w:t xml:space="preserve">pos_flat</w:t>
      </w:r>
      <w:r>
        <w:t xml:space="preserve">,</w:t>
      </w:r>
    </w:p>
    <w:p>
      <w:pPr>
        <w:pStyle w:val="Compact"/>
        <w:numPr>
          <w:ilvl w:val="1"/>
          <w:numId w:val="1007"/>
        </w:numPr>
      </w:pPr>
      <w:r>
        <w:t xml:space="preserve">uses</w:t>
      </w:r>
      <w:r>
        <w:t xml:space="preserve"> </w:t>
      </w:r>
      <w:r>
        <w:rPr>
          <w:b/>
          <w:bCs/>
        </w:rPr>
        <w:t xml:space="preserve">t−1</w:t>
      </w:r>
      <w:r>
        <w:t xml:space="preserve"> </w:t>
      </w:r>
      <w:r>
        <w:t xml:space="preserve">values of the signal and bands to set the position at time t (prevents look-ahead),</w:t>
      </w:r>
    </w:p>
    <w:p>
      <w:pPr>
        <w:pStyle w:val="Compact"/>
        <w:numPr>
          <w:ilvl w:val="1"/>
          <w:numId w:val="1007"/>
        </w:numPr>
      </w:pPr>
      <w:r>
        <w:t xml:space="preserve">supports both</w:t>
      </w:r>
      <w:r>
        <w:t xml:space="preserve"> </w:t>
      </w:r>
      <w:r>
        <w:rPr>
          <w:b/>
          <w:bCs/>
        </w:rPr>
        <w:t xml:space="preserve">MOM</w:t>
      </w:r>
      <w:r>
        <w:t xml:space="preserve"> </w:t>
      </w:r>
      <w:r>
        <w:t xml:space="preserve">and</w:t>
      </w:r>
      <w:r>
        <w:t xml:space="preserve"> </w:t>
      </w:r>
      <w:r>
        <w:rPr>
          <w:b/>
          <w:bCs/>
        </w:rPr>
        <w:t xml:space="preserve">MR</w:t>
      </w:r>
      <w:r>
        <w:t xml:space="preserve"> </w:t>
      </w:r>
      <w:r>
        <w:t xml:space="preserve">via a strategy flag.</w:t>
      </w:r>
    </w:p>
    <w:p>
      <w:pPr>
        <w:pStyle w:val="FirstParagraph"/>
      </w:pPr>
      <w:r>
        <w:rPr>
          <w:b/>
          <w:bCs/>
        </w:rPr>
        <w:t xml:space="preserve">Strategy 3 — Risk‑filtered EMA / hybrid (RF‑EMA)</w:t>
      </w:r>
    </w:p>
    <w:p>
      <w:pPr>
        <w:pStyle w:val="Compact"/>
        <w:numPr>
          <w:ilvl w:val="0"/>
          <w:numId w:val="1008"/>
        </w:numPr>
      </w:pPr>
      <w:r>
        <w:rPr>
          <w:b/>
          <w:bCs/>
        </w:rPr>
        <w:t xml:space="preserve">Idea:</w:t>
      </w:r>
      <w:r>
        <w:t xml:space="preserve"> </w:t>
      </w:r>
      <w:r>
        <w:t xml:space="preserve">reduce crossover</w:t>
      </w:r>
      <w:r>
        <w:t xml:space="preserve"> </w:t>
      </w:r>
      <w:r>
        <w:t xml:space="preserve">“churn”</w:t>
      </w:r>
      <w:r>
        <w:t xml:space="preserve"> </w:t>
      </w:r>
      <w:r>
        <w:t xml:space="preserve">in sideways regimes by trading only when the EMA spread is large relative to recent volatility.</w:t>
      </w:r>
    </w:p>
    <w:p>
      <w:pPr>
        <w:pStyle w:val="Compact"/>
        <w:numPr>
          <w:ilvl w:val="0"/>
          <w:numId w:val="1008"/>
        </w:numPr>
      </w:pPr>
      <w:r>
        <w:rPr>
          <w:b/>
          <w:bCs/>
        </w:rPr>
        <w:t xml:space="preserve">Additional indicator:</w:t>
      </w:r>
    </w:p>
    <w:p>
      <w:pPr>
        <w:pStyle w:val="Compact"/>
        <w:numPr>
          <w:ilvl w:val="1"/>
          <w:numId w:val="1009"/>
        </w:numPr>
      </w:pPr>
      <w:r>
        <w:t xml:space="preserve">rolling volatility</w:t>
      </w:r>
      <w:r>
        <w:t xml:space="preserve"> </w:t>
      </w:r>
      <w:r>
        <w:rPr>
          <w:rStyle w:val="VerbatimChar"/>
        </w:rPr>
        <w:t xml:space="preserve">vSD = rolling_std(price, volat_sd)</w:t>
      </w:r>
    </w:p>
    <w:p>
      <w:pPr>
        <w:pStyle w:val="Compact"/>
        <w:numPr>
          <w:ilvl w:val="1"/>
          <w:numId w:val="1009"/>
        </w:numPr>
      </w:pPr>
      <w:r>
        <w:t xml:space="preserve">trend strength</w:t>
      </w:r>
      <w:r>
        <w:t xml:space="preserve"> </w:t>
      </w:r>
      <w:r>
        <w:rPr>
          <w:rStyle w:val="VerbatimChar"/>
        </w:rPr>
        <w:t xml:space="preserve">strength = |fast - slow| / vSD</w:t>
      </w:r>
    </w:p>
    <w:p>
      <w:pPr>
        <w:pStyle w:val="Compact"/>
        <w:numPr>
          <w:ilvl w:val="0"/>
          <w:numId w:val="1008"/>
        </w:numPr>
      </w:pPr>
      <w:r>
        <w:rPr>
          <w:b/>
          <w:bCs/>
        </w:rPr>
        <w:t xml:space="preserve">Entry/exit:</w:t>
      </w:r>
      <w:r>
        <w:t xml:space="preserve"> </w:t>
      </w:r>
      <w:r>
        <w:t xml:space="preserve">follow the EMA crossover direction</w:t>
      </w:r>
      <w:r>
        <w:t xml:space="preserve"> </w:t>
      </w:r>
      <w:r>
        <w:rPr>
          <w:b/>
          <w:bCs/>
        </w:rPr>
        <w:t xml:space="preserve">only if</w:t>
      </w:r>
      <w:r>
        <w:t xml:space="preserve"> </w:t>
      </w:r>
      <w:r>
        <w:rPr>
          <w:rStyle w:val="VerbatimChar"/>
        </w:rPr>
        <w:t xml:space="preserve">strength &gt; z_th</w:t>
      </w:r>
      <w:r>
        <w:t xml:space="preserve"> </w:t>
      </w:r>
      <w:r>
        <w:t xml:space="preserve">(otherwise remain flat). We also evaluate MR by flipping the position sign.</w:t>
      </w:r>
    </w:p>
    <w:p>
      <w:pPr>
        <w:pStyle w:val="Compact"/>
        <w:numPr>
          <w:ilvl w:val="0"/>
          <w:numId w:val="1008"/>
        </w:numPr>
      </w:pPr>
      <w:r>
        <w:rPr>
          <w:b/>
          <w:bCs/>
        </w:rPr>
        <w:t xml:space="preserve">Parameters searched (grid):</w:t>
      </w:r>
    </w:p>
    <w:p>
      <w:pPr>
        <w:pStyle w:val="Compact"/>
        <w:numPr>
          <w:ilvl w:val="1"/>
          <w:numId w:val="1010"/>
        </w:numPr>
      </w:pPr>
      <w:r>
        <w:rPr>
          <w:rStyle w:val="VerbatimChar"/>
        </w:rPr>
        <w:t xml:space="preserve">fastEMA ∈ {15, 20, 30, 45}</w:t>
      </w:r>
    </w:p>
    <w:p>
      <w:pPr>
        <w:pStyle w:val="Compact"/>
        <w:numPr>
          <w:ilvl w:val="1"/>
          <w:numId w:val="1010"/>
        </w:numPr>
      </w:pPr>
      <w:r>
        <w:rPr>
          <w:rStyle w:val="VerbatimChar"/>
        </w:rPr>
        <w:t xml:space="preserve">slowEMA ∈ {90, 120, 180, 240}</w:t>
      </w:r>
      <w:r>
        <w:t xml:space="preserve"> </w:t>
      </w:r>
      <w:r>
        <w:t xml:space="preserve">with constraint</w:t>
      </w:r>
      <w:r>
        <w:t xml:space="preserve"> </w:t>
      </w:r>
      <w:r>
        <w:rPr>
          <w:rStyle w:val="VerbatimChar"/>
        </w:rPr>
        <w:t xml:space="preserve">fastEMA &lt; slowEMA</w:t>
      </w:r>
    </w:p>
    <w:p>
      <w:pPr>
        <w:pStyle w:val="Compact"/>
        <w:numPr>
          <w:ilvl w:val="1"/>
          <w:numId w:val="1010"/>
        </w:numPr>
      </w:pPr>
      <w:r>
        <w:rPr>
          <w:rStyle w:val="VerbatimChar"/>
        </w:rPr>
        <w:t xml:space="preserve">volat_sd ∈ {30, 60, 90}</w:t>
      </w:r>
    </w:p>
    <w:p>
      <w:pPr>
        <w:pStyle w:val="Compact"/>
        <w:numPr>
          <w:ilvl w:val="1"/>
          <w:numId w:val="1010"/>
        </w:numPr>
      </w:pPr>
      <w:r>
        <w:rPr>
          <w:rStyle w:val="VerbatimChar"/>
        </w:rPr>
        <w:t xml:space="preserve">z_th ∈ {0.5, 1.0, 1.5, 2.0}</w:t>
      </w:r>
    </w:p>
    <w:bookmarkEnd w:id="22"/>
    <w:bookmarkStart w:id="23" w:name="X397e0707df455bffad0747f3f292d6dbd857cb7"/>
    <w:p>
      <w:pPr>
        <w:pStyle w:val="Heading3"/>
      </w:pPr>
      <w:r>
        <w:t xml:space="preserve">Parameter search and model selection (per group)</w:t>
      </w:r>
    </w:p>
    <w:p>
      <w:pPr>
        <w:numPr>
          <w:ilvl w:val="0"/>
          <w:numId w:val="1011"/>
        </w:numPr>
      </w:pPr>
      <w:r>
        <w:rPr>
          <w:b/>
          <w:bCs/>
        </w:rPr>
        <w:t xml:space="preserve">Quarterly backtests:</w:t>
      </w:r>
      <w:r>
        <w:t xml:space="preserve"> </w:t>
      </w:r>
      <w:r>
        <w:t xml:space="preserve">for each quarter, contract, and parameter combination we compute minute PnL and aggregate to daily PnL. We report gross/net Sharpe, gross/net Calmar, cumulative PnL, and average daily transactions.</w:t>
      </w:r>
    </w:p>
    <w:p>
      <w:pPr>
        <w:numPr>
          <w:ilvl w:val="0"/>
          <w:numId w:val="1011"/>
        </w:numPr>
      </w:pPr>
      <w:r>
        <w:rPr>
          <w:b/>
          <w:bCs/>
        </w:rPr>
        <w:t xml:space="preserve">Ranking statistic:</w:t>
      </w:r>
      <w:r>
        <w:t xml:space="preserve"> </w:t>
      </w:r>
      <w:r>
        <w:t xml:space="preserve">we compute an assignment statistic per quarter:</w:t>
      </w:r>
    </w:p>
    <w:p>
      <w:pPr>
        <w:pStyle w:val="BodyText"/>
      </w:pPr>
      <m:oMathPara>
        <m:oMathParaPr>
          <m:jc m:val="center"/>
        </m:oMathParaPr>
        <m:oMath>
          <m:r>
            <m:t>e</m:t>
          </m:r>
          <m:r>
            <m:t>x</m:t>
          </m:r>
          <m:r>
            <m:t>t</m:t>
          </m:r>
          <m:r>
            <m:t>s</m:t>
          </m:r>
          <m:r>
            <m:t>t</m:t>
          </m:r>
          <m:r>
            <m:t>a</m:t>
          </m:r>
          <m:r>
            <m:t>t</m:t>
          </m:r>
          <m:r>
            <m:rPr>
              <m:sty m:val="p"/>
            </m:rPr>
            <m:t>=</m:t>
          </m:r>
          <m:d>
            <m:dPr>
              <m:begChr m:val="("/>
              <m:sepChr m:val=""/>
              <m:endChr m:val=")"/>
              <m:grow/>
            </m:dPr>
            <m:e>
              <m:r>
                <m:rPr>
                  <m:nor/>
                  <m:sty m:val="p"/>
                </m:rPr>
                <m:t>netSR</m:t>
              </m:r>
              <m:r>
                <m:rPr>
                  <m:sty m:val="p"/>
                </m:rPr>
                <m:t>−</m:t>
              </m:r>
              <m:r>
                <m:t>0.5</m:t>
              </m:r>
            </m:e>
          </m:d>
          <m:r>
            <m:t> </m:t>
          </m:r>
          <m:r>
            <m:rPr>
              <m:sty m:val="p"/>
            </m:rPr>
            <m:t>max</m:t>
          </m:r>
          <m:r>
            <m:t>​</m:t>
          </m:r>
          <m:d>
            <m:dPr>
              <m:begChr m:val="("/>
              <m:sepChr m:val=""/>
              <m:endChr m:val=")"/>
              <m:grow/>
            </m:dPr>
            <m:e>
              <m:r>
                <m:t>0</m:t>
              </m:r>
              <m:r>
                <m:rPr>
                  <m:sty m:val="p"/>
                </m:rPr>
                <m:t>,</m:t>
              </m:r>
              <m:r>
                <m:t> </m:t>
              </m:r>
              <m:r>
                <m:rPr>
                  <m:sty m:val="p"/>
                </m:rPr>
                <m:t>ln</m:t>
              </m:r>
              <m:r>
                <m:t>​</m:t>
              </m:r>
              <m:d>
                <m:dPr>
                  <m:begChr m:val="("/>
                  <m:sepChr m:val=""/>
                  <m:endChr m:val=")"/>
                  <m:grow/>
                </m:dPr>
                <m:e>
                  <m:d>
                    <m:dPr>
                      <m:begChr m:val="|"/>
                      <m:sepChr m:val=""/>
                      <m:endChr m:val="|"/>
                      <m:grow/>
                    </m:dPr>
                    <m:e>
                      <m:f>
                        <m:fPr>
                          <m:type m:val="bar"/>
                        </m:fPr>
                        <m:num>
                          <m:r>
                            <m:rPr>
                              <m:nor/>
                              <m:sty m:val="p"/>
                            </m:rPr>
                            <m:t>netPnL</m:t>
                          </m:r>
                        </m:num>
                        <m:den>
                          <m:r>
                            <m:t>1000</m:t>
                          </m:r>
                        </m:den>
                      </m:f>
                    </m:e>
                  </m:d>
                </m:e>
              </m:d>
            </m:e>
          </m:d>
        </m:oMath>
      </m:oMathPara>
    </w:p>
    <w:p>
      <w:pPr>
        <w:numPr>
          <w:ilvl w:val="0"/>
          <w:numId w:val="1011"/>
        </w:numPr>
      </w:pPr>
      <w:r>
        <w:rPr>
          <w:b/>
          <w:bCs/>
        </w:rPr>
        <w:t xml:space="preserve">In-sample selection (avoid leakage):</w:t>
      </w:r>
    </w:p>
    <w:p>
      <w:pPr>
        <w:pStyle w:val="Compact"/>
        <w:numPr>
          <w:ilvl w:val="1"/>
          <w:numId w:val="1012"/>
        </w:numPr>
      </w:pPr>
      <w:r>
        <w:t xml:space="preserve">We define</w:t>
      </w:r>
      <w:r>
        <w:t xml:space="preserve"> </w:t>
      </w:r>
      <w:r>
        <w:rPr>
          <w:rStyle w:val="VerbatimChar"/>
        </w:rPr>
        <w:t xml:space="preserve">INSAMPLE_PERIODS</w:t>
      </w:r>
      <w:r>
        <w:t xml:space="preserve"> </w:t>
      </w:r>
      <w:r>
        <w:t xml:space="preserve">as the set of valid quarter labels in the dataset (excluding invalid labels like</w:t>
      </w:r>
      <w:r>
        <w:t xml:space="preserve"> </w:t>
      </w:r>
      <w:r>
        <w:rPr>
          <w:rStyle w:val="VerbatimChar"/>
        </w:rPr>
        <w:t xml:space="preserve">None</w:t>
      </w:r>
      <w:r>
        <w:t xml:space="preserve">/</w:t>
      </w:r>
      <w:r>
        <w:rPr>
          <w:rStyle w:val="VerbatimChar"/>
        </w:rPr>
        <w:t xml:space="preserve">nan</w:t>
      </w:r>
      <w:r>
        <w:t xml:space="preserve">).</w:t>
      </w:r>
    </w:p>
    <w:p>
      <w:pPr>
        <w:pStyle w:val="Compact"/>
        <w:numPr>
          <w:ilvl w:val="1"/>
          <w:numId w:val="1012"/>
        </w:numPr>
      </w:pPr>
      <w:r>
        <w:t xml:space="preserve">For each contract and each strategy family, we aggregate results across the in-sample quarters and select the configuration that maximizes</w:t>
      </w:r>
      <w:r>
        <w:t xml:space="preserve"> </w:t>
      </w:r>
      <w:r>
        <w:rPr>
          <w:b/>
          <w:bCs/>
        </w:rPr>
        <w:t xml:space="preserve">sum(stat)</w:t>
      </w:r>
      <w:r>
        <w:t xml:space="preserve">.</w:t>
      </w:r>
    </w:p>
    <w:p>
      <w:pPr>
        <w:pStyle w:val="Compact"/>
        <w:numPr>
          <w:ilvl w:val="1"/>
          <w:numId w:val="1012"/>
        </w:numPr>
      </w:pPr>
      <w:r>
        <w:t xml:space="preserve">We require that the chosen parameter set appears in</w:t>
      </w:r>
      <w:r>
        <w:t xml:space="preserve"> </w:t>
      </w:r>
      <w:r>
        <w:rPr>
          <w:b/>
          <w:bCs/>
        </w:rPr>
        <w:t xml:space="preserve">all</w:t>
      </w:r>
      <w:r>
        <w:t xml:space="preserve"> </w:t>
      </w:r>
      <w:r>
        <w:t xml:space="preserve">in-sample quarters for that contract (consistency constraint).</w:t>
      </w:r>
    </w:p>
    <w:p>
      <w:pPr>
        <w:pStyle w:val="Compact"/>
        <w:numPr>
          <w:ilvl w:val="1"/>
          <w:numId w:val="1012"/>
        </w:numPr>
      </w:pPr>
      <w:r>
        <w:t xml:space="preserve">To break ties, we apply a tiny turnover penalty:</w:t>
      </w:r>
      <w:r>
        <w:t xml:space="preserve"> </w:t>
      </w:r>
      <w:r>
        <w:rPr>
          <w:rStyle w:val="VerbatimChar"/>
        </w:rPr>
        <w:t xml:space="preserve">score = sum_stat − 0.001 * mean_turnover</w:t>
      </w:r>
      <w:r>
        <w:t xml:space="preserve">.</w:t>
      </w:r>
    </w:p>
    <w:p>
      <w:pPr>
        <w:pStyle w:val="Compact"/>
        <w:numPr>
          <w:ilvl w:val="1"/>
          <w:numId w:val="1012"/>
        </w:numPr>
      </w:pPr>
      <w:r>
        <w:t xml:space="preserve">We also select the best</w:t>
      </w:r>
      <w:r>
        <w:t xml:space="preserve"> </w:t>
      </w:r>
      <w:r>
        <w:rPr>
          <w:b/>
          <w:bCs/>
        </w:rPr>
        <w:t xml:space="preserve">side</w:t>
      </w:r>
      <w:r>
        <w:t xml:space="preserve"> </w:t>
      </w:r>
      <w:r>
        <w:t xml:space="preserve">(MOM vs MR) per contract.</w:t>
      </w:r>
    </w:p>
    <w:p>
      <w:pPr>
        <w:numPr>
          <w:ilvl w:val="0"/>
          <w:numId w:val="1011"/>
        </w:numPr>
      </w:pPr>
      <w:r>
        <w:rPr>
          <w:b/>
          <w:bCs/>
        </w:rPr>
        <w:t xml:space="preserve">Final evaluation:</w:t>
      </w:r>
      <w:r>
        <w:t xml:space="preserve"> </w:t>
      </w:r>
      <w:r>
        <w:t xml:space="preserve">using the fixed parameters per contract, we report performance quarter-by-quarter for the full available set of quarters.</w:t>
      </w:r>
    </w:p>
    <w:bookmarkEnd w:id="23"/>
    <w:bookmarkEnd w:id="24"/>
    <w:bookmarkStart w:id="25" w:name="finally-selected-strategy-for-group-1"/>
    <w:p>
      <w:pPr>
        <w:pStyle w:val="Heading2"/>
      </w:pPr>
      <w:r>
        <w:t xml:space="preserve">Finally selected strategy for</w:t>
      </w:r>
      <w:r>
        <w:t xml:space="preserve"> </w:t>
      </w:r>
      <w:r>
        <w:rPr>
          <w:b/>
          <w:bCs/>
        </w:rPr>
        <w:t xml:space="preserve">group 1</w:t>
      </w:r>
    </w:p>
    <w:p>
      <w:pPr>
        <w:pStyle w:val="FirstParagraph"/>
      </w:pPr>
      <w:r>
        <w:t xml:space="preserve">Provide a</w:t>
      </w:r>
      <w:r>
        <w:t xml:space="preserve"> </w:t>
      </w:r>
      <w:r>
        <w:rPr>
          <w:b/>
          <w:bCs/>
        </w:rPr>
        <w:t xml:space="preserve">general summary</w:t>
      </w:r>
      <w:r>
        <w:t xml:space="preserve"> </w:t>
      </w:r>
      <w:r>
        <w:t xml:space="preserve">(approach and a set of</w:t>
      </w:r>
      <w:r>
        <w:t xml:space="preserve"> </w:t>
      </w:r>
      <w:r>
        <w:rPr>
          <w:b/>
          <w:bCs/>
        </w:rPr>
        <w:t xml:space="preserve">final parameters</w:t>
      </w:r>
      <w:r>
        <w:t xml:space="preserve">) for assets from</w:t>
      </w:r>
      <w:r>
        <w:t xml:space="preserve"> </w:t>
      </w:r>
      <w:r>
        <w:rPr>
          <w:b/>
          <w:bCs/>
        </w:rPr>
        <w:t xml:space="preserve">group 1</w:t>
      </w:r>
      <w:r>
        <w:t xml:space="preserve">.</w:t>
      </w:r>
      <w:r>
        <w:t xml:space="preserve"> </w:t>
      </w:r>
      <w:r>
        <w:t xml:space="preserve">(e.g. momentum strategy, cross over of two exponential moving averages EMA10 and EMA60).</w:t>
      </w:r>
    </w:p>
    <w:p>
      <w:pPr>
        <w:pStyle w:val="BodyText"/>
      </w:pPr>
      <w:r>
        <w:rPr>
          <w:b/>
          <w:bCs/>
        </w:rPr>
        <w:t xml:space="preserve">Selected strategy (Group 1): Volatility Breakout 2.2 (fixed parameters)</w:t>
      </w:r>
    </w:p>
    <w:p>
      <w:pPr>
        <w:pStyle w:val="BodyText"/>
      </w:pPr>
      <w:r>
        <w:t xml:space="preserve">We implement a volatility breakout rule based on an EMA signal and an EMA-centered volatility band:</w:t>
      </w:r>
    </w:p>
    <w:p>
      <w:pPr>
        <w:pStyle w:val="Compact"/>
        <w:numPr>
          <w:ilvl w:val="0"/>
          <w:numId w:val="1013"/>
        </w:numPr>
      </w:pPr>
      <w:r>
        <w:t xml:space="preserve">Compute a fast EMA signal</w:t>
      </w:r>
      <w:r>
        <w:t xml:space="preserve"> </w:t>
      </w:r>
      <m:oMath>
        <m:sSub>
          <m:e>
            <m:r>
              <m:t>s</m:t>
            </m:r>
          </m:e>
          <m:sub>
            <m:r>
              <m:t>t</m:t>
            </m:r>
          </m:sub>
        </m:sSub>
      </m:oMath>
      <w:r>
        <w:t xml:space="preserve"> </w:t>
      </w:r>
      <w:r>
        <w:t xml:space="preserve">and a slow EMA center</w:t>
      </w:r>
      <w:r>
        <w:t xml:space="preserve"> </w:t>
      </w:r>
      <m:oMath>
        <m:sSub>
          <m:e>
            <m:r>
              <m:rPr>
                <m:sty m:val="p"/>
              </m:rPr>
              <m:t>ℓ</m:t>
            </m:r>
          </m:e>
          <m:sub>
            <m:r>
              <m:t>t</m:t>
            </m:r>
          </m:sub>
        </m:sSub>
      </m:oMath>
      <w:r>
        <w:t xml:space="preserve">.</w:t>
      </w:r>
    </w:p>
    <w:p>
      <w:pPr>
        <w:pStyle w:val="Compact"/>
        <w:numPr>
          <w:ilvl w:val="0"/>
          <w:numId w:val="1013"/>
        </w:numPr>
      </w:pPr>
      <w:r>
        <w:t xml:space="preserve">Compute rolling volatility</w:t>
      </w:r>
      <w:r>
        <w:t xml:space="preserve"> </w:t>
      </w:r>
      <m:oMath>
        <m:sSub>
          <m:e>
            <m:r>
              <m:t>σ</m:t>
            </m:r>
          </m:e>
          <m:sub>
            <m:r>
              <m:t>t</m:t>
            </m:r>
          </m:sub>
        </m:sSub>
      </m:oMath>
      <w:r>
        <w:t xml:space="preserve"> </w:t>
      </w:r>
      <w:r>
        <w:t xml:space="preserve">(rolling standard deviation).</w:t>
      </w:r>
    </w:p>
    <w:p>
      <w:pPr>
        <w:pStyle w:val="Compact"/>
        <w:numPr>
          <w:ilvl w:val="0"/>
          <w:numId w:val="1013"/>
        </w:numPr>
      </w:pPr>
      <w:r>
        <w:t xml:space="preserve">Define bands</w:t>
      </w:r>
      <w:r>
        <w:t xml:space="preserve"> </w:t>
      </w:r>
      <m:oMath>
        <m:sSub>
          <m:e>
            <m:r>
              <m:t>U</m:t>
            </m:r>
          </m:e>
          <m:sub>
            <m:r>
              <m:t>t</m:t>
            </m:r>
          </m:sub>
        </m:sSub>
        <m:r>
          <m:rPr>
            <m:sty m:val="p"/>
          </m:rPr>
          <m:t>=</m:t>
        </m:r>
        <m:sSub>
          <m:e>
            <m:r>
              <m:rPr>
                <m:sty m:val="p"/>
              </m:rPr>
              <m:t>ℓ</m:t>
            </m:r>
          </m:e>
          <m:sub>
            <m:r>
              <m:t>t</m:t>
            </m:r>
          </m:sub>
        </m:sSub>
        <m:r>
          <m:rPr>
            <m:sty m:val="p"/>
          </m:rPr>
          <m:t>+</m:t>
        </m:r>
        <m:r>
          <m:t>m</m:t>
        </m:r>
        <m:r>
          <m:t> </m:t>
        </m:r>
        <m:sSub>
          <m:e>
            <m:r>
              <m:t>σ</m:t>
            </m:r>
          </m:e>
          <m:sub>
            <m:r>
              <m:t>t</m:t>
            </m:r>
          </m:sub>
        </m:sSub>
      </m:oMath>
      <w:r>
        <w:t xml:space="preserve"> </w:t>
      </w:r>
      <w:r>
        <w:t xml:space="preserve">and</w:t>
      </w:r>
      <w:r>
        <w:t xml:space="preserve"> </w:t>
      </w:r>
      <m:oMath>
        <m:sSub>
          <m:e>
            <m:r>
              <m:t>L</m:t>
            </m:r>
          </m:e>
          <m:sub>
            <m:r>
              <m:t>t</m:t>
            </m:r>
          </m:sub>
        </m:sSub>
        <m:r>
          <m:rPr>
            <m:sty m:val="p"/>
          </m:rPr>
          <m:t>=</m:t>
        </m:r>
        <m:sSub>
          <m:e>
            <m:r>
              <m:rPr>
                <m:sty m:val="p"/>
              </m:rPr>
              <m:t>ℓ</m:t>
            </m:r>
          </m:e>
          <m:sub>
            <m:r>
              <m:t>t</m:t>
            </m:r>
          </m:sub>
        </m:sSub>
        <m:r>
          <m:rPr>
            <m:sty m:val="p"/>
          </m:rPr>
          <m:t>−</m:t>
        </m:r>
        <m:r>
          <m:t>m</m:t>
        </m:r>
        <m:r>
          <m:t> </m:t>
        </m:r>
        <m:sSub>
          <m:e>
            <m:r>
              <m:t>σ</m:t>
            </m:r>
          </m:e>
          <m:sub>
            <m:r>
              <m:t>t</m:t>
            </m:r>
          </m:sub>
        </m:sSub>
      </m:oMath>
      <w:r>
        <w:t xml:space="preserve">.</w:t>
      </w:r>
    </w:p>
    <w:p>
      <w:pPr>
        <w:pStyle w:val="Compact"/>
        <w:numPr>
          <w:ilvl w:val="0"/>
          <w:numId w:val="1013"/>
        </w:numPr>
      </w:pPr>
      <w:r>
        <w:t xml:space="preserve">Generate positions with our helper function</w:t>
      </w:r>
      <w:r>
        <w:t xml:space="preserve"> </w:t>
      </w:r>
      <w:r>
        <w:rPr>
          <w:rStyle w:val="VerbatimChar"/>
        </w:rPr>
        <w:t xml:space="preserve">positionVB</w:t>
      </w:r>
      <w:r>
        <w:t xml:space="preserve"> </w:t>
      </w:r>
      <w:r>
        <w:t xml:space="preserve">(see</w:t>
      </w:r>
      <w:r>
        <w:t xml:space="preserve"> </w:t>
      </w:r>
      <w:hyperlink r:id="rId21">
        <w:r>
          <w:rPr>
            <w:rStyle w:val="Hyperlink"/>
          </w:rPr>
          <w:t xml:space="preserve">functions/position_VB.py</w:t>
        </w:r>
      </w:hyperlink>
      <w:r>
        <w:t xml:space="preserve">), which enforces forced-flat periods (</w:t>
      </w:r>
      <w:r>
        <w:rPr>
          <w:rStyle w:val="VerbatimChar"/>
        </w:rPr>
        <w:t xml:space="preserve">pos_flat</w:t>
      </w:r>
      <w:r>
        <w:t xml:space="preserve">) and uses</w:t>
      </w:r>
      <w:r>
        <w:t xml:space="preserve"> </w:t>
      </w:r>
      <w:r>
        <w:rPr>
          <w:b/>
          <w:bCs/>
        </w:rPr>
        <w:t xml:space="preserve">t−1</w:t>
      </w:r>
      <w:r>
        <w:t xml:space="preserve"> </w:t>
      </w:r>
      <w:r>
        <w:t xml:space="preserve">signal/band values to avoid look-ahead.</w:t>
      </w:r>
    </w:p>
    <w:p>
      <w:pPr>
        <w:pStyle w:val="Compact"/>
        <w:numPr>
          <w:ilvl w:val="0"/>
          <w:numId w:val="1013"/>
        </w:numPr>
      </w:pPr>
      <w:r>
        <w:t xml:space="preserve">Apply transaction costs per trade and report gross vs net results.</w:t>
      </w:r>
    </w:p>
    <w:p>
      <w:pPr>
        <w:pStyle w:val="FirstParagraph"/>
      </w:pPr>
      <w:r>
        <w:t xml:space="preserve">Final fixed parameters (chosen from the research notebook and kept constant across quarters):</w:t>
      </w:r>
    </w:p>
    <w:p>
      <w:pPr>
        <w:pStyle w:val="Compact"/>
        <w:numPr>
          <w:ilvl w:val="0"/>
          <w:numId w:val="1014"/>
        </w:numPr>
      </w:pPr>
      <w:r>
        <w:rPr>
          <w:b/>
          <w:bCs/>
        </w:rPr>
        <w:t xml:space="preserve">NQ (Momentum / breakout):</w:t>
      </w:r>
      <w:r>
        <w:t xml:space="preserve"> </w:t>
      </w:r>
      <w:r>
        <w:rPr>
          <w:rStyle w:val="VerbatimChar"/>
        </w:rPr>
        <w:t xml:space="preserve">signalEMA=20</w:t>
      </w:r>
      <w:r>
        <w:t xml:space="preserve">,</w:t>
      </w:r>
      <w:r>
        <w:t xml:space="preserve"> </w:t>
      </w:r>
      <w:r>
        <w:rPr>
          <w:rStyle w:val="VerbatimChar"/>
        </w:rPr>
        <w:t xml:space="preserve">slowEMA=60</w:t>
      </w:r>
      <w:r>
        <w:t xml:space="preserve">,</w:t>
      </w:r>
      <w:r>
        <w:t xml:space="preserve"> </w:t>
      </w:r>
      <w:r>
        <w:rPr>
          <w:rStyle w:val="VerbatimChar"/>
        </w:rPr>
        <w:t xml:space="preserve">volat_sd=30</w:t>
      </w:r>
      <w:r>
        <w:t xml:space="preserve">,</w:t>
      </w:r>
      <w:r>
        <w:t xml:space="preserve"> </w:t>
      </w:r>
      <w:r>
        <w:rPr>
          <w:rStyle w:val="VerbatimChar"/>
        </w:rPr>
        <w:t xml:space="preserve">m=2.0</w:t>
      </w:r>
    </w:p>
    <w:p>
      <w:pPr>
        <w:pStyle w:val="Compact"/>
        <w:numPr>
          <w:ilvl w:val="0"/>
          <w:numId w:val="1014"/>
        </w:numPr>
      </w:pPr>
      <w:r>
        <w:rPr>
          <w:b/>
          <w:bCs/>
        </w:rPr>
        <w:t xml:space="preserve">SP (Mean reversion):</w:t>
      </w:r>
      <w:r>
        <w:t xml:space="preserve"> </w:t>
      </w:r>
      <w:r>
        <w:rPr>
          <w:rStyle w:val="VerbatimChar"/>
        </w:rPr>
        <w:t xml:space="preserve">signalEMA=90</w:t>
      </w:r>
      <w:r>
        <w:t xml:space="preserve">,</w:t>
      </w:r>
      <w:r>
        <w:t xml:space="preserve"> </w:t>
      </w:r>
      <w:r>
        <w:rPr>
          <w:rStyle w:val="VerbatimChar"/>
        </w:rPr>
        <w:t xml:space="preserve">slowEMA=180</w:t>
      </w:r>
      <w:r>
        <w:t xml:space="preserve">,</w:t>
      </w:r>
      <w:r>
        <w:t xml:space="preserve"> </w:t>
      </w:r>
      <w:r>
        <w:rPr>
          <w:rStyle w:val="VerbatimChar"/>
        </w:rPr>
        <w:t xml:space="preserve">volat_sd=60</w:t>
      </w:r>
      <w:r>
        <w:t xml:space="preserve">,</w:t>
      </w:r>
      <w:r>
        <w:t xml:space="preserve"> </w:t>
      </w:r>
      <w:r>
        <w:rPr>
          <w:rStyle w:val="VerbatimChar"/>
        </w:rPr>
        <w:t xml:space="preserve">m=1.0</w:t>
      </w:r>
    </w:p>
    <w:bookmarkEnd w:id="25"/>
    <w:bookmarkStart w:id="27" w:name="summary-of-results-for-group-1"/>
    <w:p>
      <w:pPr>
        <w:pStyle w:val="Heading2"/>
      </w:pPr>
      <w:r>
        <w:t xml:space="preserve">Summary of results for</w:t>
      </w:r>
      <w:r>
        <w:t xml:space="preserve"> </w:t>
      </w:r>
      <w:r>
        <w:rPr>
          <w:b/>
          <w:bCs/>
        </w:rPr>
        <w:t xml:space="preserve">group 1</w:t>
      </w:r>
    </w:p>
    <w:bookmarkStart w:id="26" w:name="T_30fdf"/>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r>
              <w:t xml:space="preserve">quarter</w:t>
            </w:r>
          </w:p>
        </w:tc>
        <w:tc>
          <w:tcPr/>
          <w:p>
            <w:pPr>
              <w:pStyle w:val="Compact"/>
            </w:pPr>
            <w:r>
              <w:t xml:space="preserve">sample</w:t>
            </w:r>
          </w:p>
        </w:tc>
        <w:tc>
          <w:tcPr/>
          <w:p>
            <w:pPr>
              <w:pStyle w:val="Compact"/>
            </w:pPr>
            <w:r>
              <w:t xml:space="preserve">sym</w:t>
            </w:r>
          </w:p>
        </w:tc>
        <w:tc>
          <w:tcPr/>
          <w:p>
            <w:pPr>
              <w:pStyle w:val="Compact"/>
            </w:pPr>
            <w:r>
              <w:t xml:space="preserve">gross_SR</w:t>
            </w:r>
          </w:p>
        </w:tc>
        <w:tc>
          <w:tcPr/>
          <w:p>
            <w:pPr>
              <w:pStyle w:val="Compact"/>
            </w:pPr>
            <w:r>
              <w:t xml:space="preserve">net_SR</w:t>
            </w:r>
          </w:p>
        </w:tc>
        <w:tc>
          <w:tcPr/>
          <w:p>
            <w:pPr>
              <w:pStyle w:val="Compact"/>
            </w:pPr>
            <w:r>
              <w:t xml:space="preserve">gross_PnL</w:t>
            </w:r>
          </w:p>
        </w:tc>
        <w:tc>
          <w:tcPr/>
          <w:p>
            <w:pPr>
              <w:pStyle w:val="Compact"/>
            </w:pPr>
            <w:r>
              <w:t xml:space="preserve">net_PnL</w:t>
            </w:r>
          </w:p>
        </w:tc>
        <w:tc>
          <w:tcPr/>
          <w:p>
            <w:pPr>
              <w:pStyle w:val="Compact"/>
            </w:pPr>
            <w:r>
              <w:t xml:space="preserve">gross_CR</w:t>
            </w:r>
          </w:p>
        </w:tc>
        <w:tc>
          <w:tcPr/>
          <w:p>
            <w:pPr>
              <w:pStyle w:val="Compact"/>
            </w:pPr>
            <w:r>
              <w:t xml:space="preserve">net_CR</w:t>
            </w:r>
          </w:p>
        </w:tc>
        <w:tc>
          <w:tcPr/>
          <w:p>
            <w:pPr>
              <w:pStyle w:val="Compact"/>
            </w:pPr>
            <w:r>
              <w:t xml:space="preserve">av_daily_ntrans</w:t>
            </w:r>
          </w:p>
        </w:tc>
        <w:tc>
          <w:tcPr/>
          <w:p>
            <w:pPr>
              <w:pStyle w:val="Compact"/>
            </w:pPr>
            <w:r>
              <w:t xml:space="preserve">stat</w:t>
            </w:r>
          </w:p>
        </w:tc>
      </w:tr>
      <w:tr>
        <w:tc>
          <w:tcPr/>
          <w:p>
            <w:pPr>
              <w:pStyle w:val="Compact"/>
            </w:pPr>
            <w:r>
              <w:t xml:space="preserve">2023_Q1</w:t>
            </w:r>
          </w:p>
        </w:tc>
        <w:tc>
          <w:tcPr/>
          <w:p>
            <w:pPr>
              <w:pStyle w:val="Compact"/>
            </w:pPr>
            <w:r>
              <w:t xml:space="preserve">IS</w:t>
            </w:r>
          </w:p>
        </w:tc>
        <w:tc>
          <w:tcPr/>
          <w:p>
            <w:pPr>
              <w:pStyle w:val="Compact"/>
            </w:pPr>
            <w:r>
              <w:t xml:space="preserve">NQ+SP</w:t>
            </w:r>
          </w:p>
        </w:tc>
        <w:tc>
          <w:tcPr/>
          <w:p>
            <w:pPr>
              <w:pStyle w:val="Compact"/>
            </w:pPr>
            <w:r>
              <w:t xml:space="preserve">5.39</w:t>
            </w:r>
          </w:p>
        </w:tc>
        <w:tc>
          <w:tcPr/>
          <w:p>
            <w:pPr>
              <w:pStyle w:val="Compact"/>
            </w:pPr>
            <w:r>
              <w:t xml:space="preserve">4.92</w:t>
            </w:r>
          </w:p>
        </w:tc>
        <w:tc>
          <w:tcPr/>
          <w:p>
            <w:pPr>
              <w:pStyle w:val="Compact"/>
            </w:pPr>
            <w:r>
              <w:t xml:space="preserve">52926.85</w:t>
            </w:r>
          </w:p>
        </w:tc>
        <w:tc>
          <w:tcPr/>
          <w:p>
            <w:pPr>
              <w:pStyle w:val="Compact"/>
            </w:pPr>
            <w:r>
              <w:t xml:space="preserve">48294.85</w:t>
            </w:r>
          </w:p>
        </w:tc>
        <w:tc>
          <w:tcPr/>
          <w:p>
            <w:pPr>
              <w:pStyle w:val="Compact"/>
            </w:pPr>
            <w:r>
              <w:t xml:space="preserve">31.64</w:t>
            </w:r>
          </w:p>
        </w:tc>
        <w:tc>
          <w:tcPr/>
          <w:p>
            <w:pPr>
              <w:pStyle w:val="Compact"/>
            </w:pPr>
            <w:r>
              <w:t xml:space="preserve">25.79</w:t>
            </w:r>
          </w:p>
        </w:tc>
        <w:tc>
          <w:tcPr/>
          <w:p>
            <w:pPr>
              <w:pStyle w:val="Compact"/>
            </w:pPr>
            <w:r>
              <w:t xml:space="preserve">5.94</w:t>
            </w:r>
          </w:p>
        </w:tc>
        <w:tc>
          <w:tcPr/>
          <w:p>
            <w:pPr>
              <w:pStyle w:val="Compact"/>
            </w:pPr>
            <w:r>
              <w:t xml:space="preserve">17.16</w:t>
            </w:r>
          </w:p>
        </w:tc>
      </w:tr>
      <w:tr>
        <w:tc>
          <w:tcPr/>
          <w:p>
            <w:pPr>
              <w:pStyle w:val="Compact"/>
            </w:pPr>
            <w:r>
              <w:t xml:space="preserve">2023_Q2</w:t>
            </w:r>
          </w:p>
        </w:tc>
        <w:tc>
          <w:tcPr/>
          <w:p>
            <w:pPr>
              <w:pStyle w:val="Compact"/>
            </w:pPr>
            <w:r>
              <w:t xml:space="preserve">OOS</w:t>
            </w:r>
          </w:p>
        </w:tc>
        <w:tc>
          <w:tcPr/>
          <w:p>
            <w:pPr>
              <w:pStyle w:val="Compact"/>
            </w:pPr>
            <w:r>
              <w:t xml:space="preserve">NQ+SP</w:t>
            </w:r>
          </w:p>
        </w:tc>
        <w:tc>
          <w:tcPr/>
          <w:p>
            <w:pPr>
              <w:pStyle w:val="Compact"/>
            </w:pPr>
            <w:r>
              <w:t xml:space="preserve">-1.34</w:t>
            </w:r>
          </w:p>
        </w:tc>
        <w:tc>
          <w:tcPr/>
          <w:p>
            <w:pPr>
              <w:pStyle w:val="Compact"/>
            </w:pPr>
            <w:r>
              <w:t xml:space="preserve">-1.98</w:t>
            </w:r>
          </w:p>
        </w:tc>
        <w:tc>
          <w:tcPr/>
          <w:p>
            <w:pPr>
              <w:pStyle w:val="Compact"/>
            </w:pPr>
            <w:r>
              <w:t xml:space="preserve">-12646.56</w:t>
            </w:r>
          </w:p>
        </w:tc>
        <w:tc>
          <w:tcPr/>
          <w:p>
            <w:pPr>
              <w:pStyle w:val="Compact"/>
            </w:pPr>
            <w:r>
              <w:t xml:space="preserve">-18790.56</w:t>
            </w:r>
          </w:p>
        </w:tc>
        <w:tc>
          <w:tcPr/>
          <w:p>
            <w:pPr>
              <w:pStyle w:val="Compact"/>
            </w:pPr>
            <w:r>
              <w:t xml:space="preserve">-2.83</w:t>
            </w:r>
          </w:p>
        </w:tc>
        <w:tc>
          <w:tcPr/>
          <w:p>
            <w:pPr>
              <w:pStyle w:val="Compact"/>
            </w:pPr>
            <w:r>
              <w:t xml:space="preserve">-3.31</w:t>
            </w:r>
          </w:p>
        </w:tc>
        <w:tc>
          <w:tcPr/>
          <w:p>
            <w:pPr>
              <w:pStyle w:val="Compact"/>
            </w:pPr>
            <w:r>
              <w:t xml:space="preserve">8.00</w:t>
            </w:r>
          </w:p>
        </w:tc>
        <w:tc>
          <w:tcPr/>
          <w:p>
            <w:pPr>
              <w:pStyle w:val="Compact"/>
            </w:pPr>
            <w:r>
              <w:t xml:space="preserve">-7.27</w:t>
            </w:r>
          </w:p>
        </w:tc>
      </w:tr>
      <w:tr>
        <w:tc>
          <w:tcPr/>
          <w:p>
            <w:pPr>
              <w:pStyle w:val="Compact"/>
            </w:pPr>
            <w:r>
              <w:t xml:space="preserve">2023_Q3</w:t>
            </w:r>
          </w:p>
        </w:tc>
        <w:tc>
          <w:tcPr/>
          <w:p>
            <w:pPr>
              <w:pStyle w:val="Compact"/>
            </w:pPr>
            <w:r>
              <w:t xml:space="preserve">IS</w:t>
            </w:r>
          </w:p>
        </w:tc>
        <w:tc>
          <w:tcPr/>
          <w:p>
            <w:pPr>
              <w:pStyle w:val="Compact"/>
            </w:pPr>
            <w:r>
              <w:t xml:space="preserve">NQ+SP</w:t>
            </w:r>
          </w:p>
        </w:tc>
        <w:tc>
          <w:tcPr/>
          <w:p>
            <w:pPr>
              <w:pStyle w:val="Compact"/>
            </w:pPr>
            <w:r>
              <w:t xml:space="preserve">2.35</w:t>
            </w:r>
          </w:p>
        </w:tc>
        <w:tc>
          <w:tcPr/>
          <w:p>
            <w:pPr>
              <w:pStyle w:val="Compact"/>
            </w:pPr>
            <w:r>
              <w:t xml:space="preserve">1.67</w:t>
            </w:r>
          </w:p>
        </w:tc>
        <w:tc>
          <w:tcPr/>
          <w:p>
            <w:pPr>
              <w:pStyle w:val="Compact"/>
            </w:pPr>
            <w:r>
              <w:t xml:space="preserve">15648.02</w:t>
            </w:r>
          </w:p>
        </w:tc>
        <w:tc>
          <w:tcPr/>
          <w:p>
            <w:pPr>
              <w:pStyle w:val="Compact"/>
            </w:pPr>
            <w:r>
              <w:t xml:space="preserve">11208.02</w:t>
            </w:r>
          </w:p>
        </w:tc>
        <w:tc>
          <w:tcPr/>
          <w:p>
            <w:pPr>
              <w:pStyle w:val="Compact"/>
            </w:pPr>
            <w:r>
              <w:t xml:space="preserve">7.04</w:t>
            </w:r>
          </w:p>
        </w:tc>
        <w:tc>
          <w:tcPr/>
          <w:p>
            <w:pPr>
              <w:pStyle w:val="Compact"/>
            </w:pPr>
            <w:r>
              <w:t xml:space="preserve">4.82</w:t>
            </w:r>
          </w:p>
        </w:tc>
        <w:tc>
          <w:tcPr/>
          <w:p>
            <w:pPr>
              <w:pStyle w:val="Compact"/>
            </w:pPr>
            <w:r>
              <w:t xml:space="preserve">5.69</w:t>
            </w:r>
          </w:p>
        </w:tc>
        <w:tc>
          <w:tcPr/>
          <w:p>
            <w:pPr>
              <w:pStyle w:val="Compact"/>
            </w:pPr>
            <w:r>
              <w:t xml:space="preserve">2.84</w:t>
            </w:r>
          </w:p>
        </w:tc>
      </w:tr>
      <w:tr>
        <w:tc>
          <w:tcPr/>
          <w:p>
            <w:pPr>
              <w:pStyle w:val="Compact"/>
            </w:pPr>
            <w:r>
              <w:t xml:space="preserve">2023_Q4</w:t>
            </w:r>
          </w:p>
        </w:tc>
        <w:tc>
          <w:tcPr/>
          <w:p>
            <w:pPr>
              <w:pStyle w:val="Compact"/>
            </w:pPr>
            <w:r>
              <w:t xml:space="preserve">IS</w:t>
            </w:r>
          </w:p>
        </w:tc>
        <w:tc>
          <w:tcPr/>
          <w:p>
            <w:pPr>
              <w:pStyle w:val="Compact"/>
            </w:pPr>
            <w:r>
              <w:t xml:space="preserve">NQ+SP</w:t>
            </w:r>
          </w:p>
        </w:tc>
        <w:tc>
          <w:tcPr/>
          <w:p>
            <w:pPr>
              <w:pStyle w:val="Compact"/>
            </w:pPr>
            <w:r>
              <w:t xml:space="preserve">2.45</w:t>
            </w:r>
          </w:p>
        </w:tc>
        <w:tc>
          <w:tcPr/>
          <w:p>
            <w:pPr>
              <w:pStyle w:val="Compact"/>
            </w:pPr>
            <w:r>
              <w:t xml:space="preserve">1.84</w:t>
            </w:r>
          </w:p>
        </w:tc>
        <w:tc>
          <w:tcPr/>
          <w:p>
            <w:pPr>
              <w:pStyle w:val="Compact"/>
            </w:pPr>
            <w:r>
              <w:t xml:space="preserve">15712.76</w:t>
            </w:r>
          </w:p>
        </w:tc>
        <w:tc>
          <w:tcPr/>
          <w:p>
            <w:pPr>
              <w:pStyle w:val="Compact"/>
            </w:pPr>
            <w:r>
              <w:t xml:space="preserve">11800.76</w:t>
            </w:r>
          </w:p>
        </w:tc>
        <w:tc>
          <w:tcPr/>
          <w:p>
            <w:pPr>
              <w:pStyle w:val="Compact"/>
            </w:pPr>
            <w:r>
              <w:t xml:space="preserve">8.70</w:t>
            </w:r>
          </w:p>
        </w:tc>
        <w:tc>
          <w:tcPr/>
          <w:p>
            <w:pPr>
              <w:pStyle w:val="Compact"/>
            </w:pPr>
            <w:r>
              <w:t xml:space="preserve">5.49</w:t>
            </w:r>
          </w:p>
        </w:tc>
        <w:tc>
          <w:tcPr/>
          <w:p>
            <w:pPr>
              <w:pStyle w:val="Compact"/>
            </w:pPr>
            <w:r>
              <w:t xml:space="preserve">5.09</w:t>
            </w:r>
          </w:p>
        </w:tc>
        <w:tc>
          <w:tcPr/>
          <w:p>
            <w:pPr>
              <w:pStyle w:val="Compact"/>
            </w:pPr>
            <w:r>
              <w:t xml:space="preserve">3.30</w:t>
            </w:r>
          </w:p>
        </w:tc>
      </w:tr>
      <w:tr>
        <w:tc>
          <w:tcPr/>
          <w:p>
            <w:pPr>
              <w:pStyle w:val="Compact"/>
            </w:pPr>
            <w:r>
              <w:t xml:space="preserve">2024_Q1</w:t>
            </w:r>
          </w:p>
        </w:tc>
        <w:tc>
          <w:tcPr/>
          <w:p>
            <w:pPr>
              <w:pStyle w:val="Compact"/>
            </w:pPr>
            <w:r>
              <w:t xml:space="preserve">OOS</w:t>
            </w:r>
          </w:p>
        </w:tc>
        <w:tc>
          <w:tcPr/>
          <w:p>
            <w:pPr>
              <w:pStyle w:val="Compact"/>
            </w:pPr>
            <w:r>
              <w:t xml:space="preserve">NQ+SP</w:t>
            </w:r>
          </w:p>
        </w:tc>
        <w:tc>
          <w:tcPr/>
          <w:p>
            <w:pPr>
              <w:pStyle w:val="Compact"/>
            </w:pPr>
            <w:r>
              <w:t xml:space="preserve">-2.44</w:t>
            </w:r>
          </w:p>
        </w:tc>
        <w:tc>
          <w:tcPr/>
          <w:p>
            <w:pPr>
              <w:pStyle w:val="Compact"/>
            </w:pPr>
            <w:r>
              <w:t xml:space="preserve">-3.02</w:t>
            </w:r>
          </w:p>
        </w:tc>
        <w:tc>
          <w:tcPr/>
          <w:p>
            <w:pPr>
              <w:pStyle w:val="Compact"/>
            </w:pPr>
            <w:r>
              <w:t xml:space="preserve">-17087.37</w:t>
            </w:r>
          </w:p>
        </w:tc>
        <w:tc>
          <w:tcPr/>
          <w:p>
            <w:pPr>
              <w:pStyle w:val="Compact"/>
            </w:pPr>
            <w:r>
              <w:t xml:space="preserve">-21311.37</w:t>
            </w:r>
          </w:p>
        </w:tc>
        <w:tc>
          <w:tcPr/>
          <w:p>
            <w:pPr>
              <w:pStyle w:val="Compact"/>
            </w:pPr>
            <w:r>
              <w:t xml:space="preserve">-4.02</w:t>
            </w:r>
          </w:p>
        </w:tc>
        <w:tc>
          <w:tcPr/>
          <w:p>
            <w:pPr>
              <w:pStyle w:val="Compact"/>
            </w:pPr>
            <w:r>
              <w:t xml:space="preserve">-4.07</w:t>
            </w:r>
          </w:p>
        </w:tc>
        <w:tc>
          <w:tcPr/>
          <w:p>
            <w:pPr>
              <w:pStyle w:val="Compact"/>
            </w:pPr>
            <w:r>
              <w:t xml:space="preserve">5.50</w:t>
            </w:r>
          </w:p>
        </w:tc>
        <w:tc>
          <w:tcPr/>
          <w:p>
            <w:pPr>
              <w:pStyle w:val="Compact"/>
            </w:pPr>
            <w:r>
              <w:t xml:space="preserve">-10.76</w:t>
            </w:r>
          </w:p>
        </w:tc>
      </w:tr>
      <w:tr>
        <w:tc>
          <w:tcPr/>
          <w:p>
            <w:pPr>
              <w:pStyle w:val="Compact"/>
            </w:pPr>
            <w:r>
              <w:t xml:space="preserve">2024_Q2</w:t>
            </w:r>
          </w:p>
        </w:tc>
        <w:tc>
          <w:tcPr/>
          <w:p>
            <w:pPr>
              <w:pStyle w:val="Compact"/>
            </w:pPr>
            <w:r>
              <w:t xml:space="preserve">IS</w:t>
            </w:r>
          </w:p>
        </w:tc>
        <w:tc>
          <w:tcPr/>
          <w:p>
            <w:pPr>
              <w:pStyle w:val="Compact"/>
            </w:pPr>
            <w:r>
              <w:t xml:space="preserve">NQ+SP</w:t>
            </w:r>
          </w:p>
        </w:tc>
        <w:tc>
          <w:tcPr/>
          <w:p>
            <w:pPr>
              <w:pStyle w:val="Compact"/>
            </w:pPr>
            <w:r>
              <w:t xml:space="preserve">1.40</w:t>
            </w:r>
          </w:p>
        </w:tc>
        <w:tc>
          <w:tcPr/>
          <w:p>
            <w:pPr>
              <w:pStyle w:val="Compact"/>
            </w:pPr>
            <w:r>
              <w:t xml:space="preserve">0.96</w:t>
            </w:r>
          </w:p>
        </w:tc>
        <w:tc>
          <w:tcPr/>
          <w:p>
            <w:pPr>
              <w:pStyle w:val="Compact"/>
            </w:pPr>
            <w:r>
              <w:t xml:space="preserve">12719.04</w:t>
            </w:r>
          </w:p>
        </w:tc>
        <w:tc>
          <w:tcPr/>
          <w:p>
            <w:pPr>
              <w:pStyle w:val="Compact"/>
            </w:pPr>
            <w:r>
              <w:t xml:space="preserve">8759.04</w:t>
            </w:r>
          </w:p>
        </w:tc>
        <w:tc>
          <w:tcPr/>
          <w:p>
            <w:pPr>
              <w:pStyle w:val="Compact"/>
            </w:pPr>
            <w:r>
              <w:t xml:space="preserve">2.74</w:t>
            </w:r>
          </w:p>
        </w:tc>
        <w:tc>
          <w:tcPr/>
          <w:p>
            <w:pPr>
              <w:pStyle w:val="Compact"/>
            </w:pPr>
            <w:r>
              <w:t xml:space="preserve">1.78</w:t>
            </w:r>
          </w:p>
        </w:tc>
        <w:tc>
          <w:tcPr/>
          <w:p>
            <w:pPr>
              <w:pStyle w:val="Compact"/>
            </w:pPr>
            <w:r>
              <w:t xml:space="preserve">5.08</w:t>
            </w:r>
          </w:p>
        </w:tc>
        <w:tc>
          <w:tcPr/>
          <w:p>
            <w:pPr>
              <w:pStyle w:val="Compact"/>
            </w:pPr>
            <w:r>
              <w:t xml:space="preserve">1.00</w:t>
            </w:r>
          </w:p>
        </w:tc>
      </w:tr>
      <w:tr>
        <w:tc>
          <w:tcPr/>
          <w:p>
            <w:pPr>
              <w:pStyle w:val="Compact"/>
            </w:pPr>
            <w:r>
              <w:t xml:space="preserve">2024_Q3</w:t>
            </w:r>
          </w:p>
        </w:tc>
        <w:tc>
          <w:tcPr/>
          <w:p>
            <w:pPr>
              <w:pStyle w:val="Compact"/>
            </w:pPr>
            <w:r>
              <w:t xml:space="preserve">OOS</w:t>
            </w:r>
          </w:p>
        </w:tc>
        <w:tc>
          <w:tcPr/>
          <w:p>
            <w:pPr>
              <w:pStyle w:val="Compact"/>
            </w:pPr>
            <w:r>
              <w:t xml:space="preserve">NQ+SP</w:t>
            </w:r>
          </w:p>
        </w:tc>
        <w:tc>
          <w:tcPr/>
          <w:p>
            <w:pPr>
              <w:pStyle w:val="Compact"/>
            </w:pPr>
            <w:r>
              <w:t xml:space="preserve">-3.52</w:t>
            </w:r>
          </w:p>
        </w:tc>
        <w:tc>
          <w:tcPr/>
          <w:p>
            <w:pPr>
              <w:pStyle w:val="Compact"/>
            </w:pPr>
            <w:r>
              <w:t xml:space="preserve">-3.85</w:t>
            </w:r>
          </w:p>
        </w:tc>
        <w:tc>
          <w:tcPr/>
          <w:p>
            <w:pPr>
              <w:pStyle w:val="Compact"/>
            </w:pPr>
            <w:r>
              <w:t xml:space="preserve">-43101.50</w:t>
            </w:r>
          </w:p>
        </w:tc>
        <w:tc>
          <w:tcPr/>
          <w:p>
            <w:pPr>
              <w:pStyle w:val="Compact"/>
            </w:pPr>
            <w:r>
              <w:t xml:space="preserve">-47325.50</w:t>
            </w:r>
          </w:p>
        </w:tc>
        <w:tc>
          <w:tcPr/>
          <w:p>
            <w:pPr>
              <w:pStyle w:val="Compact"/>
            </w:pPr>
            <w:r>
              <w:t xml:space="preserve">-2.93</w:t>
            </w:r>
          </w:p>
        </w:tc>
        <w:tc>
          <w:tcPr/>
          <w:p>
            <w:pPr>
              <w:pStyle w:val="Compact"/>
            </w:pPr>
            <w:r>
              <w:t xml:space="preserve">-3.02</w:t>
            </w:r>
          </w:p>
        </w:tc>
        <w:tc>
          <w:tcPr/>
          <w:p>
            <w:pPr>
              <w:pStyle w:val="Compact"/>
            </w:pPr>
            <w:r>
              <w:t xml:space="preserve">5.33</w:t>
            </w:r>
          </w:p>
        </w:tc>
        <w:tc>
          <w:tcPr/>
          <w:p>
            <w:pPr>
              <w:pStyle w:val="Compact"/>
            </w:pPr>
            <w:r>
              <w:t xml:space="preserve">-16.77</w:t>
            </w:r>
          </w:p>
        </w:tc>
      </w:tr>
      <w:tr>
        <w:tc>
          <w:tcPr/>
          <w:p>
            <w:pPr>
              <w:pStyle w:val="Compact"/>
            </w:pPr>
            <w:r>
              <w:t xml:space="preserve">2024_Q4</w:t>
            </w:r>
          </w:p>
        </w:tc>
        <w:tc>
          <w:tcPr/>
          <w:p>
            <w:pPr>
              <w:pStyle w:val="Compact"/>
            </w:pPr>
            <w:r>
              <w:t xml:space="preserve">IS</w:t>
            </w:r>
          </w:p>
        </w:tc>
        <w:tc>
          <w:tcPr/>
          <w:p>
            <w:pPr>
              <w:pStyle w:val="Compact"/>
            </w:pPr>
            <w:r>
              <w:t xml:space="preserve">NQ+SP</w:t>
            </w:r>
          </w:p>
        </w:tc>
        <w:tc>
          <w:tcPr/>
          <w:p>
            <w:pPr>
              <w:pStyle w:val="Compact"/>
            </w:pPr>
            <w:r>
              <w:t xml:space="preserve">3.18</w:t>
            </w:r>
          </w:p>
        </w:tc>
        <w:tc>
          <w:tcPr/>
          <w:p>
            <w:pPr>
              <w:pStyle w:val="Compact"/>
            </w:pPr>
            <w:r>
              <w:t xml:space="preserve">2.76</w:t>
            </w:r>
          </w:p>
        </w:tc>
        <w:tc>
          <w:tcPr/>
          <w:p>
            <w:pPr>
              <w:pStyle w:val="Compact"/>
            </w:pPr>
            <w:r>
              <w:t xml:space="preserve">28819.82</w:t>
            </w:r>
          </w:p>
        </w:tc>
        <w:tc>
          <w:tcPr/>
          <w:p>
            <w:pPr>
              <w:pStyle w:val="Compact"/>
            </w:pPr>
            <w:r>
              <w:t xml:space="preserve">25027.82</w:t>
            </w:r>
          </w:p>
        </w:tc>
        <w:tc>
          <w:tcPr/>
          <w:p>
            <w:pPr>
              <w:pStyle w:val="Compact"/>
            </w:pPr>
            <w:r>
              <w:t xml:space="preserve">18.16</w:t>
            </w:r>
          </w:p>
        </w:tc>
        <w:tc>
          <w:tcPr/>
          <w:p>
            <w:pPr>
              <w:pStyle w:val="Compact"/>
            </w:pPr>
            <w:r>
              <w:t xml:space="preserve">13.78</w:t>
            </w:r>
          </w:p>
        </w:tc>
        <w:tc>
          <w:tcPr/>
          <w:p>
            <w:pPr>
              <w:pStyle w:val="Compact"/>
            </w:pPr>
            <w:r>
              <w:t xml:space="preserve">4.86</w:t>
            </w:r>
          </w:p>
        </w:tc>
        <w:tc>
          <w:tcPr/>
          <w:p>
            <w:pPr>
              <w:pStyle w:val="Compact"/>
            </w:pPr>
            <w:r>
              <w:t xml:space="preserve">7.28</w:t>
            </w:r>
          </w:p>
        </w:tc>
      </w:tr>
      <w:tr>
        <w:tc>
          <w:tcPr/>
          <w:p>
            <w:pPr>
              <w:pStyle w:val="Compact"/>
            </w:pPr>
            <w:r>
              <w:t xml:space="preserve">2025_Q1</w:t>
            </w:r>
          </w:p>
        </w:tc>
        <w:tc>
          <w:tcPr/>
          <w:p>
            <w:pPr>
              <w:pStyle w:val="Compact"/>
            </w:pPr>
            <w:r>
              <w:t xml:space="preserve">IS</w:t>
            </w:r>
          </w:p>
        </w:tc>
        <w:tc>
          <w:tcPr/>
          <w:p>
            <w:pPr>
              <w:pStyle w:val="Compact"/>
            </w:pPr>
            <w:r>
              <w:t xml:space="preserve">NQ+SP</w:t>
            </w:r>
          </w:p>
        </w:tc>
        <w:tc>
          <w:tcPr/>
          <w:p>
            <w:pPr>
              <w:pStyle w:val="Compact"/>
            </w:pPr>
            <w:r>
              <w:t xml:space="preserve">3.89</w:t>
            </w:r>
          </w:p>
        </w:tc>
        <w:tc>
          <w:tcPr/>
          <w:p>
            <w:pPr>
              <w:pStyle w:val="Compact"/>
            </w:pPr>
            <w:r>
              <w:t xml:space="preserve">3.43</w:t>
            </w:r>
          </w:p>
        </w:tc>
        <w:tc>
          <w:tcPr/>
          <w:p>
            <w:pPr>
              <w:pStyle w:val="Compact"/>
            </w:pPr>
            <w:r>
              <w:t xml:space="preserve">36270.09</w:t>
            </w:r>
          </w:p>
        </w:tc>
        <w:tc>
          <w:tcPr/>
          <w:p>
            <w:pPr>
              <w:pStyle w:val="Compact"/>
            </w:pPr>
            <w:r>
              <w:t xml:space="preserve">32022.09</w:t>
            </w:r>
          </w:p>
        </w:tc>
        <w:tc>
          <w:tcPr/>
          <w:p>
            <w:pPr>
              <w:pStyle w:val="Compact"/>
            </w:pPr>
            <w:r>
              <w:t xml:space="preserve">11.28</w:t>
            </w:r>
          </w:p>
        </w:tc>
        <w:tc>
          <w:tcPr/>
          <w:p>
            <w:pPr>
              <w:pStyle w:val="Compact"/>
            </w:pPr>
            <w:r>
              <w:t xml:space="preserve">9.28</w:t>
            </w:r>
          </w:p>
        </w:tc>
        <w:tc>
          <w:tcPr/>
          <w:p>
            <w:pPr>
              <w:pStyle w:val="Compact"/>
            </w:pPr>
            <w:r>
              <w:t xml:space="preserve">5.62</w:t>
            </w:r>
          </w:p>
        </w:tc>
        <w:tc>
          <w:tcPr/>
          <w:p>
            <w:pPr>
              <w:pStyle w:val="Compact"/>
            </w:pPr>
            <w:r>
              <w:t xml:space="preserve">10.17</w:t>
            </w:r>
          </w:p>
        </w:tc>
      </w:tr>
      <w:tr>
        <w:tc>
          <w:tcPr/>
          <w:p>
            <w:pPr>
              <w:pStyle w:val="Compact"/>
            </w:pPr>
            <w:r>
              <w:t xml:space="preserve">2025_Q2</w:t>
            </w:r>
          </w:p>
        </w:tc>
        <w:tc>
          <w:tcPr/>
          <w:p>
            <w:pPr>
              <w:pStyle w:val="Compact"/>
            </w:pPr>
            <w:r>
              <w:t xml:space="preserve">IS</w:t>
            </w:r>
          </w:p>
        </w:tc>
        <w:tc>
          <w:tcPr/>
          <w:p>
            <w:pPr>
              <w:pStyle w:val="Compact"/>
            </w:pPr>
            <w:r>
              <w:t xml:space="preserve">NQ+SP</w:t>
            </w:r>
          </w:p>
        </w:tc>
        <w:tc>
          <w:tcPr/>
          <w:p>
            <w:pPr>
              <w:pStyle w:val="Compact"/>
            </w:pPr>
            <w:r>
              <w:t xml:space="preserve">1.83</w:t>
            </w:r>
          </w:p>
        </w:tc>
        <w:tc>
          <w:tcPr/>
          <w:p>
            <w:pPr>
              <w:pStyle w:val="Compact"/>
            </w:pPr>
            <w:r>
              <w:t xml:space="preserve">1.69</w:t>
            </w:r>
          </w:p>
        </w:tc>
        <w:tc>
          <w:tcPr/>
          <w:p>
            <w:pPr>
              <w:pStyle w:val="Compact"/>
            </w:pPr>
            <w:r>
              <w:t xml:space="preserve">49989.79</w:t>
            </w:r>
          </w:p>
        </w:tc>
        <w:tc>
          <w:tcPr/>
          <w:p>
            <w:pPr>
              <w:pStyle w:val="Compact"/>
            </w:pPr>
            <w:r>
              <w:t xml:space="preserve">46125.79</w:t>
            </w:r>
          </w:p>
        </w:tc>
        <w:tc>
          <w:tcPr/>
          <w:p>
            <w:pPr>
              <w:pStyle w:val="Compact"/>
            </w:pPr>
            <w:r>
              <w:t xml:space="preserve">11.19</w:t>
            </w:r>
          </w:p>
        </w:tc>
        <w:tc>
          <w:tcPr/>
          <w:p>
            <w:pPr>
              <w:pStyle w:val="Compact"/>
            </w:pPr>
            <w:r>
              <w:t xml:space="preserve">9.18</w:t>
            </w:r>
          </w:p>
        </w:tc>
        <w:tc>
          <w:tcPr/>
          <w:p>
            <w:pPr>
              <w:pStyle w:val="Compact"/>
            </w:pPr>
            <w:r>
              <w:t xml:space="preserve">4.95</w:t>
            </w:r>
          </w:p>
        </w:tc>
        <w:tc>
          <w:tcPr/>
          <w:p>
            <w:pPr>
              <w:pStyle w:val="Compact"/>
            </w:pPr>
            <w:r>
              <w:t xml:space="preserve">4.56</w:t>
            </w:r>
          </w:p>
        </w:tc>
      </w:tr>
      <w:tr>
        <w:tc>
          <w:tcPr/>
          <w:p>
            <w:pPr>
              <w:pStyle w:val="Compact"/>
            </w:pPr>
            <w:r>
              <w:t xml:space="preserve">2025_Q3</w:t>
            </w:r>
          </w:p>
        </w:tc>
        <w:tc>
          <w:tcPr/>
          <w:p>
            <w:pPr>
              <w:pStyle w:val="Compact"/>
            </w:pPr>
            <w:r>
              <w:t xml:space="preserve">OOS</w:t>
            </w:r>
          </w:p>
        </w:tc>
        <w:tc>
          <w:tcPr/>
          <w:p>
            <w:pPr>
              <w:pStyle w:val="Compact"/>
            </w:pPr>
            <w:r>
              <w:t xml:space="preserve">NQ+SP</w:t>
            </w:r>
          </w:p>
        </w:tc>
        <w:tc>
          <w:tcPr/>
          <w:p>
            <w:pPr>
              <w:pStyle w:val="Compact"/>
            </w:pPr>
            <w:r>
              <w:t xml:space="preserve">-3.30</w:t>
            </w:r>
          </w:p>
        </w:tc>
        <w:tc>
          <w:tcPr/>
          <w:p>
            <w:pPr>
              <w:pStyle w:val="Compact"/>
            </w:pPr>
            <w:r>
              <w:t xml:space="preserve">-3.75</w:t>
            </w:r>
          </w:p>
        </w:tc>
        <w:tc>
          <w:tcPr/>
          <w:p>
            <w:pPr>
              <w:pStyle w:val="Compact"/>
            </w:pPr>
            <w:r>
              <w:t xml:space="preserve">-25908.23</w:t>
            </w:r>
          </w:p>
        </w:tc>
        <w:tc>
          <w:tcPr/>
          <w:p>
            <w:pPr>
              <w:pStyle w:val="Compact"/>
            </w:pPr>
            <w:r>
              <w:t xml:space="preserve">-29580.23</w:t>
            </w:r>
          </w:p>
        </w:tc>
        <w:tc>
          <w:tcPr/>
          <w:p>
            <w:pPr>
              <w:pStyle w:val="Compact"/>
            </w:pPr>
            <w:r>
              <w:t xml:space="preserve">-3.36</w:t>
            </w:r>
          </w:p>
        </w:tc>
        <w:tc>
          <w:tcPr/>
          <w:p>
            <w:pPr>
              <w:pStyle w:val="Compact"/>
            </w:pPr>
            <w:r>
              <w:t xml:space="preserve">-3.46</w:t>
            </w:r>
          </w:p>
        </w:tc>
        <w:tc>
          <w:tcPr/>
          <w:p>
            <w:pPr>
              <w:pStyle w:val="Compact"/>
            </w:pPr>
            <w:r>
              <w:t xml:space="preserve">4.64</w:t>
            </w:r>
          </w:p>
        </w:tc>
        <w:tc>
          <w:tcPr/>
          <w:p>
            <w:pPr>
              <w:pStyle w:val="Compact"/>
            </w:pPr>
            <w:r>
              <w:t xml:space="preserve">-14.41</w:t>
            </w:r>
          </w:p>
        </w:tc>
      </w:tr>
      <w:tr>
        <w:tc>
          <w:tcPr/>
          <w:p>
            <w:pPr>
              <w:pStyle w:val="Compact"/>
            </w:pPr>
            <w:r>
              <w:t xml:space="preserve">2025_Q4</w:t>
            </w:r>
          </w:p>
        </w:tc>
        <w:tc>
          <w:tcPr/>
          <w:p>
            <w:pPr>
              <w:pStyle w:val="Compact"/>
            </w:pPr>
            <w:r>
              <w:t xml:space="preserve">OOS</w:t>
            </w:r>
          </w:p>
        </w:tc>
        <w:tc>
          <w:tcPr/>
          <w:p>
            <w:pPr>
              <w:pStyle w:val="Compact"/>
            </w:pPr>
            <w:r>
              <w:t xml:space="preserve">NQ+SP</w:t>
            </w:r>
          </w:p>
        </w:tc>
        <w:tc>
          <w:tcPr/>
          <w:p>
            <w:pPr>
              <w:pStyle w:val="Compact"/>
            </w:pPr>
            <w:r>
              <w:t xml:space="preserve">2.06</w:t>
            </w:r>
          </w:p>
        </w:tc>
        <w:tc>
          <w:tcPr/>
          <w:p>
            <w:pPr>
              <w:pStyle w:val="Compact"/>
            </w:pPr>
            <w:r>
              <w:t xml:space="preserve">1.54</w:t>
            </w:r>
          </w:p>
        </w:tc>
        <w:tc>
          <w:tcPr/>
          <w:p>
            <w:pPr>
              <w:pStyle w:val="Compact"/>
            </w:pPr>
            <w:r>
              <w:t xml:space="preserve">5985.60</w:t>
            </w:r>
          </w:p>
        </w:tc>
        <w:tc>
          <w:tcPr/>
          <w:p>
            <w:pPr>
              <w:pStyle w:val="Compact"/>
            </w:pPr>
            <w:r>
              <w:t xml:space="preserve">4497.60</w:t>
            </w:r>
          </w:p>
        </w:tc>
        <w:tc>
          <w:tcPr/>
          <w:p>
            <w:pPr>
              <w:pStyle w:val="Compact"/>
            </w:pPr>
            <w:r>
              <w:t xml:space="preserve">8.40</w:t>
            </w:r>
          </w:p>
        </w:tc>
        <w:tc>
          <w:tcPr/>
          <w:p>
            <w:pPr>
              <w:pStyle w:val="Compact"/>
            </w:pPr>
            <w:r>
              <w:t xml:space="preserve">6.20</w:t>
            </w:r>
          </w:p>
        </w:tc>
        <w:tc>
          <w:tcPr/>
          <w:p>
            <w:pPr>
              <w:pStyle w:val="Compact"/>
            </w:pPr>
            <w:r>
              <w:t xml:space="preserve">5.39</w:t>
            </w:r>
          </w:p>
        </w:tc>
        <w:tc>
          <w:tcPr/>
          <w:p>
            <w:pPr>
              <w:pStyle w:val="Compact"/>
            </w:pPr>
            <w:r>
              <w:t xml:space="preserve">1.56</w:t>
            </w:r>
          </w:p>
        </w:tc>
      </w:tr>
    </w:tbl>
    <w:bookmarkEnd w:id="26"/>
    <w:p>
      <w:pPr>
        <w:pStyle w:val="BodyText"/>
      </w:pPr>
      <w:r>
        <w:rPr>
          <w:b/>
          <w:bCs/>
        </w:rPr>
        <w:t xml:space="preserve">Commentary on the summary table (Group 1):</w:t>
      </w:r>
    </w:p>
    <w:p>
      <w:pPr>
        <w:pStyle w:val="BodyText"/>
      </w:pPr>
      <w:r>
        <w:t xml:space="preserve">The table reports quarter-by-quarter performance for the</w:t>
      </w:r>
      <w:r>
        <w:t xml:space="preserve"> </w:t>
      </w:r>
      <w:r>
        <w:rPr>
          <w:b/>
          <w:bCs/>
        </w:rPr>
        <w:t xml:space="preserve">combined NQ+SP portfolio</w:t>
      </w:r>
      <w:r>
        <w:t xml:space="preserve"> </w:t>
      </w:r>
      <w:r>
        <w:t xml:space="preserve">(1 contract each, PnL summed in USD) across both</w:t>
      </w:r>
      <w:r>
        <w:t xml:space="preserve"> </w:t>
      </w:r>
      <w:r>
        <w:rPr>
          <w:b/>
          <w:bCs/>
        </w:rPr>
        <w:t xml:space="preserve">in-sample (IS)</w:t>
      </w:r>
      <w:r>
        <w:t xml:space="preserve"> </w:t>
      </w:r>
      <w:r>
        <w:t xml:space="preserve">and</w:t>
      </w:r>
      <w:r>
        <w:t xml:space="preserve"> </w:t>
      </w:r>
      <w:r>
        <w:rPr>
          <w:b/>
          <w:bCs/>
        </w:rPr>
        <w:t xml:space="preserve">out-of-sample (OOS)</w:t>
      </w:r>
      <w:r>
        <w:t xml:space="preserve"> </w:t>
      </w:r>
      <w:r>
        <w:t xml:space="preserve">periods.</w:t>
      </w:r>
      <w:r>
        <w:t xml:space="preserve"> </w:t>
      </w:r>
      <w:r>
        <w:t xml:space="preserve">Because the portfolio mixes</w:t>
      </w:r>
      <w:r>
        <w:t xml:space="preserve"> </w:t>
      </w:r>
      <w:r>
        <w:rPr>
          <w:b/>
          <w:bCs/>
        </w:rPr>
        <w:t xml:space="preserve">NQ MOM</w:t>
      </w:r>
      <w:r>
        <w:t xml:space="preserve"> </w:t>
      </w:r>
      <w:r>
        <w:t xml:space="preserve">with</w:t>
      </w:r>
      <w:r>
        <w:t xml:space="preserve"> </w:t>
      </w:r>
      <w:r>
        <w:rPr>
          <w:b/>
          <w:bCs/>
        </w:rPr>
        <w:t xml:space="preserve">SP MR</w:t>
      </w:r>
      <w:r>
        <w:t xml:space="preserve">, performance remains</w:t>
      </w:r>
      <w:r>
        <w:t xml:space="preserve"> </w:t>
      </w:r>
      <w:r>
        <w:rPr>
          <w:b/>
          <w:bCs/>
        </w:rPr>
        <w:t xml:space="preserve">regime dependent</w:t>
      </w:r>
      <w:r>
        <w:t xml:space="preserve">: trending conditions tend to benefit the NQ momentum leg, while choppy/oscillating conditions tend to benefit the SP mean‑reversion leg.</w:t>
      </w:r>
      <w:r>
        <w:t xml:space="preserve"> </w:t>
      </w:r>
      <w:r>
        <w:t xml:space="preserve">Across quarters, the difference between</w:t>
      </w:r>
      <w:r>
        <w:t xml:space="preserve"> </w:t>
      </w:r>
      <w:r>
        <w:rPr>
          <w:b/>
          <w:bCs/>
        </w:rPr>
        <w:t xml:space="preserve">gross</w:t>
      </w:r>
      <w:r>
        <w:t xml:space="preserve"> </w:t>
      </w:r>
      <w:r>
        <w:t xml:space="preserve">and</w:t>
      </w:r>
      <w:r>
        <w:t xml:space="preserve"> </w:t>
      </w:r>
      <w:r>
        <w:rPr>
          <w:b/>
          <w:bCs/>
        </w:rPr>
        <w:t xml:space="preserve">net</w:t>
      </w:r>
      <w:r>
        <w:t xml:space="preserve"> </w:t>
      </w:r>
      <w:r>
        <w:t xml:space="preserve">metrics highlights that</w:t>
      </w:r>
      <w:r>
        <w:t xml:space="preserve"> </w:t>
      </w:r>
      <w:r>
        <w:rPr>
          <w:b/>
          <w:bCs/>
        </w:rPr>
        <w:t xml:space="preserve">transaction costs and turnover are economically meaningful</w:t>
      </w:r>
      <w:r>
        <w:t xml:space="preserve">; in lower-edge periods the cost drag can materially reduce profitability.</w:t>
      </w:r>
    </w:p>
    <w:bookmarkEnd w:id="27"/>
    <w:bookmarkStart w:id="76" w:name="Xe574ac2717ef208d9492596a877c5810270a93e"/>
    <w:p>
      <w:pPr>
        <w:pStyle w:val="Heading2"/>
      </w:pPr>
      <w:r>
        <w:t xml:space="preserve">Equity lines for</w:t>
      </w:r>
      <w:r>
        <w:t xml:space="preserve"> </w:t>
      </w:r>
      <w:r>
        <w:rPr>
          <w:b/>
          <w:bCs/>
        </w:rPr>
        <w:t xml:space="preserve">group 1</w:t>
      </w:r>
      <w:r>
        <w:t xml:space="preserve"> </w:t>
      </w:r>
      <w:r>
        <w:t xml:space="preserve">(portfolio NQ+SP) — IS and OOS</w:t>
      </w:r>
    </w:p>
    <w:bookmarkStart w:id="28" w:name="q1-is-portfolio-nqsp"/>
    <w:p>
      <w:pPr>
        <w:pStyle w:val="Heading3"/>
      </w:pPr>
      <w:r>
        <w:t xml:space="preserve">2023Q1 (IS) — Portfolio NQ+SP</w:t>
      </w:r>
    </w:p>
    <w:bookmarkEnd w:id="28"/>
    <w:p>
      <w:pPr>
        <w:pStyle w:val="FirstParagraph"/>
      </w:pPr>
      <w:r>
        <w:drawing>
          <wp:inline>
            <wp:extent cx="5334000" cy="2746080"/>
            <wp:effectExtent b="0" l="0" r="0" t="0"/>
            <wp:docPr descr="" title="" id="30" name="Picture"/>
            <a:graphic>
              <a:graphicData uri="http://schemas.openxmlformats.org/drawingml/2006/picture">
                <pic:pic>
                  <pic:nvPicPr>
                    <pic:cNvPr descr="final_report_word_files/figure-docx/cell-4-output-2.png" id="31" name="Picture"/>
                    <pic:cNvPicPr>
                      <a:picLocks noChangeArrowheads="1" noChangeAspect="1"/>
                    </pic:cNvPicPr>
                  </pic:nvPicPr>
                  <pic:blipFill>
                    <a:blip r:embed="rId29"/>
                    <a:stretch>
                      <a:fillRect/>
                    </a:stretch>
                  </pic:blipFill>
                  <pic:spPr bwMode="auto">
                    <a:xfrm>
                      <a:off x="0" y="0"/>
                      <a:ext cx="5334000" cy="2746080"/>
                    </a:xfrm>
                    <a:prstGeom prst="rect">
                      <a:avLst/>
                    </a:prstGeom>
                    <a:noFill/>
                    <a:ln w="9525">
                      <a:noFill/>
                      <a:headEnd/>
                      <a:tailEnd/>
                    </a:ln>
                  </pic:spPr>
                </pic:pic>
              </a:graphicData>
            </a:graphic>
          </wp:inline>
        </w:drawing>
      </w:r>
    </w:p>
    <w:p>
      <w:pPr>
        <w:pStyle w:val="BodyText"/>
      </w:pPr>
      <w:r>
        <w:rPr>
          <w:b/>
          <w:bCs/>
        </w:rPr>
        <w:t xml:space="preserve">What we observe:</w:t>
      </w:r>
      <w:r>
        <w:t xml:space="preserve"> </w:t>
      </w:r>
      <w:r>
        <w:t xml:space="preserve">Strong positive performance with a clear upward net drift.</w:t>
      </w:r>
      <w:r>
        <w:br/>
      </w:r>
      <w:r>
        <w:t xml:space="preserve">- Net PnL:</w:t>
      </w:r>
      <w:r>
        <w:t xml:space="preserve"> </w:t>
      </w:r>
      <w:r>
        <w:rPr>
          <w:b/>
          <w:bCs/>
        </w:rPr>
        <w:t xml:space="preserve">$48,295</w:t>
      </w:r>
      <w:r>
        <w:t xml:space="preserve"> </w:t>
      </w:r>
      <w:r>
        <w:t xml:space="preserve">(gross</w:t>
      </w:r>
      <w:r>
        <w:t xml:space="preserve"> </w:t>
      </w:r>
      <w:r>
        <w:rPr>
          <w:b/>
          <w:bCs/>
        </w:rPr>
        <w:t xml:space="preserve">$52,927</w:t>
      </w:r>
      <w:r>
        <w:t xml:space="preserve">), net Sharpe</w:t>
      </w:r>
      <w:r>
        <w:t xml:space="preserve"> </w:t>
      </w:r>
      <w:r>
        <w:rPr>
          <w:b/>
          <w:bCs/>
        </w:rPr>
        <w:t xml:space="preserve">4.92</w:t>
      </w:r>
      <w:r>
        <w:t xml:space="preserve">, net Calmar</w:t>
      </w:r>
      <w:r>
        <w:t xml:space="preserve"> </w:t>
      </w:r>
      <w:r>
        <w:rPr>
          <w:b/>
          <w:bCs/>
        </w:rPr>
        <w:t xml:space="preserve">25.79</w:t>
      </w:r>
      <w:r>
        <w:t xml:space="preserve">.</w:t>
      </w:r>
      <w:r>
        <w:br/>
      </w:r>
      <w:r>
        <w:t xml:space="preserve">- Turnover: avg daily transactions</w:t>
      </w:r>
      <w:r>
        <w:t xml:space="preserve"> </w:t>
      </w:r>
      <w:r>
        <w:rPr>
          <w:b/>
          <w:bCs/>
        </w:rPr>
        <w:t xml:space="preserve">5.94</w:t>
      </w:r>
      <w:r>
        <w:t xml:space="preserve">; gross→net cost drag</w:t>
      </w:r>
      <w:r>
        <w:t xml:space="preserve"> </w:t>
      </w:r>
      <w:r>
        <w:rPr>
          <w:b/>
          <w:bCs/>
        </w:rPr>
        <w:t xml:space="preserve">$4,632</w:t>
      </w:r>
      <w:r>
        <w:t xml:space="preserve">.</w:t>
      </w:r>
      <w:r>
        <w:br/>
      </w:r>
      <w:r>
        <w:rPr>
          <w:b/>
          <w:bCs/>
        </w:rPr>
        <w:t xml:space="preserve">Why (likely causes):</w:t>
      </w:r>
      <w:r>
        <w:t xml:space="preserve"> </w:t>
      </w:r>
      <w:r>
        <w:t xml:space="preserve">Main driver appears to be</w:t>
      </w:r>
      <w:r>
        <w:t xml:space="preserve"> </w:t>
      </w:r>
      <w:r>
        <w:rPr>
          <w:b/>
          <w:bCs/>
        </w:rPr>
        <w:t xml:space="preserve">NQ (MOM)</w:t>
      </w:r>
      <w:r>
        <w:t xml:space="preserve"> </w:t>
      </w:r>
      <w:r>
        <w:t xml:space="preserve">→ regime looks</w:t>
      </w:r>
      <w:r>
        <w:t xml:space="preserve"> </w:t>
      </w:r>
      <w:r>
        <w:rPr>
          <w:b/>
          <w:bCs/>
        </w:rPr>
        <w:t xml:space="preserve">trend / breakout-friendly</w:t>
      </w:r>
      <w:r>
        <w:t xml:space="preserve">. NQ’s momentum breakout leg dominates when intraday moves extend beyond bands and persist (fewer failed breakouts).</w:t>
      </w:r>
      <w:r>
        <w:br/>
      </w:r>
      <w:r>
        <w:rPr>
          <w:b/>
          <w:bCs/>
        </w:rPr>
        <w:t xml:space="preserve">Cost mechanism:</w:t>
      </w:r>
      <w:r>
        <w:t xml:space="preserve"> </w:t>
      </w:r>
      <w:r>
        <w:t xml:space="preserve">When the regime is less aligned, the strategy experiences more whipsaws/position flips, so transaction costs accumulate and net performance deteriorates versus gross.</w:t>
      </w:r>
    </w:p>
    <w:bookmarkStart w:id="32" w:name="q2-oos-portfolio-nqsp"/>
    <w:p>
      <w:pPr>
        <w:pStyle w:val="Heading3"/>
      </w:pPr>
      <w:r>
        <w:t xml:space="preserve">2023Q2 (OOS) — Portfolio NQ+SP</w:t>
      </w:r>
    </w:p>
    <w:bookmarkEnd w:id="32"/>
    <w:p>
      <w:pPr>
        <w:pStyle w:val="FirstParagraph"/>
      </w:pPr>
      <w:r>
        <w:drawing>
          <wp:inline>
            <wp:extent cx="5334000" cy="2746080"/>
            <wp:effectExtent b="0" l="0" r="0" t="0"/>
            <wp:docPr descr="" title="" id="34" name="Picture"/>
            <a:graphic>
              <a:graphicData uri="http://schemas.openxmlformats.org/drawingml/2006/picture">
                <pic:pic>
                  <pic:nvPicPr>
                    <pic:cNvPr descr="final_report_word_files/figure-docx/cell-4-output-5.png" id="35" name="Picture"/>
                    <pic:cNvPicPr>
                      <a:picLocks noChangeArrowheads="1" noChangeAspect="1"/>
                    </pic:cNvPicPr>
                  </pic:nvPicPr>
                  <pic:blipFill>
                    <a:blip r:embed="rId33"/>
                    <a:stretch>
                      <a:fillRect/>
                    </a:stretch>
                  </pic:blipFill>
                  <pic:spPr bwMode="auto">
                    <a:xfrm>
                      <a:off x="0" y="0"/>
                      <a:ext cx="5334000" cy="2746080"/>
                    </a:xfrm>
                    <a:prstGeom prst="rect">
                      <a:avLst/>
                    </a:prstGeom>
                    <a:noFill/>
                    <a:ln w="9525">
                      <a:noFill/>
                      <a:headEnd/>
                      <a:tailEnd/>
                    </a:ln>
                  </pic:spPr>
                </pic:pic>
              </a:graphicData>
            </a:graphic>
          </wp:inline>
        </w:drawing>
      </w:r>
    </w:p>
    <w:p>
      <w:pPr>
        <w:pStyle w:val="BodyText"/>
      </w:pPr>
      <w:r>
        <w:rPr>
          <w:b/>
          <w:bCs/>
        </w:rPr>
        <w:t xml:space="preserve">What we observe:</w:t>
      </w:r>
      <w:r>
        <w:t xml:space="preserve"> </w:t>
      </w:r>
      <w:r>
        <w:t xml:space="preserve">Weak/negative performance; drawdowns indicate the regime did not suit the fixed parameters.</w:t>
      </w:r>
      <w:r>
        <w:br/>
      </w:r>
      <w:r>
        <w:t xml:space="preserve">- Net PnL:</w:t>
      </w:r>
      <w:r>
        <w:t xml:space="preserve"> </w:t>
      </w:r>
      <m:oMath>
        <m:r>
          <m:rPr>
            <m:sty m:val="p"/>
          </m:rPr>
          <m:t>−</m:t>
        </m:r>
        <m:r>
          <m:t>18</m:t>
        </m:r>
        <m:r>
          <m:rPr>
            <m:sty m:val="p"/>
          </m:rPr>
          <m:t>,</m:t>
        </m:r>
        <m:r>
          <m:t>791</m:t>
        </m:r>
        <m:r>
          <m:rPr>
            <m:sty m:val="p"/>
          </m:rPr>
          <m:t>*</m:t>
        </m:r>
        <m:r>
          <m:rPr>
            <m:sty m:val="p"/>
          </m:rPr>
          <m:t>*</m:t>
        </m:r>
        <m:r>
          <m:rPr>
            <m:sty m:val="p"/>
          </m:rPr>
          <m:t>(</m:t>
        </m:r>
        <m:r>
          <m:t>g</m:t>
        </m:r>
        <m:r>
          <m:t>r</m:t>
        </m:r>
        <m:r>
          <m:t>o</m:t>
        </m:r>
        <m:r>
          <m:t>s</m:t>
        </m:r>
        <m:r>
          <m:t>s</m:t>
        </m:r>
        <m:r>
          <m:rPr>
            <m:sty m:val="p"/>
          </m:rPr>
          <m:t>*</m:t>
        </m:r>
        <m:r>
          <m:rPr>
            <m:sty m:val="p"/>
          </m:rPr>
          <m:t>*</m:t>
        </m:r>
      </m:oMath>
      <w:r>
        <w:rPr>
          <w:b/>
          <w:bCs/>
        </w:rPr>
        <w:t xml:space="preserve">-12,647</w:t>
      </w:r>
      <w:r>
        <w:t xml:space="preserve">), net Sharpe</w:t>
      </w:r>
      <w:r>
        <w:t xml:space="preserve"> </w:t>
      </w:r>
      <w:r>
        <w:rPr>
          <w:b/>
          <w:bCs/>
        </w:rPr>
        <w:t xml:space="preserve">-1.98</w:t>
      </w:r>
      <w:r>
        <w:t xml:space="preserve">, net Calmar</w:t>
      </w:r>
      <w:r>
        <w:t xml:space="preserve"> </w:t>
      </w:r>
      <w:r>
        <w:rPr>
          <w:b/>
          <w:bCs/>
        </w:rPr>
        <w:t xml:space="preserve">-3.31</w:t>
      </w:r>
      <w:r>
        <w:t xml:space="preserve">.</w:t>
      </w:r>
      <w:r>
        <w:br/>
      </w:r>
      <w:r>
        <w:t xml:space="preserve">- Turnover: avg daily transactions</w:t>
      </w:r>
      <w:r>
        <w:t xml:space="preserve"> </w:t>
      </w:r>
      <w:r>
        <w:rPr>
          <w:b/>
          <w:bCs/>
        </w:rPr>
        <w:t xml:space="preserve">8.00</w:t>
      </w:r>
      <w:r>
        <w:t xml:space="preserve">; gross→net cost drag</w:t>
      </w:r>
      <w:r>
        <w:t xml:space="preserve"> </w:t>
      </w:r>
      <w:r>
        <w:rPr>
          <w:b/>
          <w:bCs/>
        </w:rPr>
        <w:t xml:space="preserve">$6,144</w:t>
      </w:r>
      <w:r>
        <w:t xml:space="preserve">.</w:t>
      </w:r>
      <w:r>
        <w:br/>
      </w:r>
      <w:r>
        <w:rPr>
          <w:b/>
          <w:bCs/>
        </w:rPr>
        <w:t xml:space="preserve">Why (likely causes):</w:t>
      </w:r>
      <w:r>
        <w:t xml:space="preserve"> </w:t>
      </w:r>
      <w:r>
        <w:t xml:space="preserve">Main driver appears to be</w:t>
      </w:r>
      <w:r>
        <w:t xml:space="preserve"> </w:t>
      </w:r>
      <w:r>
        <w:rPr>
          <w:b/>
          <w:bCs/>
        </w:rPr>
        <w:t xml:space="preserve">NQ (MOM)</w:t>
      </w:r>
      <w:r>
        <w:t xml:space="preserve"> </w:t>
      </w:r>
      <w:r>
        <w:t xml:space="preserve">→ regime looks</w:t>
      </w:r>
      <w:r>
        <w:t xml:space="preserve"> </w:t>
      </w:r>
      <w:r>
        <w:rPr>
          <w:b/>
          <w:bCs/>
        </w:rPr>
        <w:t xml:space="preserve">trend / breakout-friendly</w:t>
      </w:r>
      <w:r>
        <w:t xml:space="preserve">. NQ’s momentum breakout leg dominates when intraday moves extend beyond bands and persist (fewer failed breakouts).</w:t>
      </w:r>
      <w:r>
        <w:br/>
      </w:r>
      <w:r>
        <w:rPr>
          <w:b/>
          <w:bCs/>
        </w:rPr>
        <w:t xml:space="preserve">Cost mechanism:</w:t>
      </w:r>
      <w:r>
        <w:t xml:space="preserve"> </w:t>
      </w:r>
      <w:r>
        <w:t xml:space="preserve">When the regime is less aligned, the strategy experiences more whipsaws/position flips, so transaction costs accumulate and net performance deteriorates versus gross.</w:t>
      </w:r>
    </w:p>
    <w:bookmarkStart w:id="36" w:name="q3-is-portfolio-nqsp"/>
    <w:p>
      <w:pPr>
        <w:pStyle w:val="Heading3"/>
      </w:pPr>
      <w:r>
        <w:t xml:space="preserve">2023Q3 (IS) — Portfolio NQ+SP</w:t>
      </w:r>
    </w:p>
    <w:bookmarkEnd w:id="36"/>
    <w:p>
      <w:pPr>
        <w:pStyle w:val="FirstParagraph"/>
      </w:pPr>
      <w:r>
        <w:drawing>
          <wp:inline>
            <wp:extent cx="5334000" cy="2744291"/>
            <wp:effectExtent b="0" l="0" r="0" t="0"/>
            <wp:docPr descr="" title="" id="38" name="Picture"/>
            <a:graphic>
              <a:graphicData uri="http://schemas.openxmlformats.org/drawingml/2006/picture">
                <pic:pic>
                  <pic:nvPicPr>
                    <pic:cNvPr descr="final_report_word_files/figure-docx/cell-4-output-8.png" id="39" name="Picture"/>
                    <pic:cNvPicPr>
                      <a:picLocks noChangeArrowheads="1" noChangeAspect="1"/>
                    </pic:cNvPicPr>
                  </pic:nvPicPr>
                  <pic:blipFill>
                    <a:blip r:embed="rId37"/>
                    <a:stretch>
                      <a:fillRect/>
                    </a:stretch>
                  </pic:blipFill>
                  <pic:spPr bwMode="auto">
                    <a:xfrm>
                      <a:off x="0" y="0"/>
                      <a:ext cx="5334000" cy="2744291"/>
                    </a:xfrm>
                    <a:prstGeom prst="rect">
                      <a:avLst/>
                    </a:prstGeom>
                    <a:noFill/>
                    <a:ln w="9525">
                      <a:noFill/>
                      <a:headEnd/>
                      <a:tailEnd/>
                    </a:ln>
                  </pic:spPr>
                </pic:pic>
              </a:graphicData>
            </a:graphic>
          </wp:inline>
        </w:drawing>
      </w:r>
    </w:p>
    <w:p>
      <w:pPr>
        <w:pStyle w:val="BodyText"/>
      </w:pPr>
      <w:r>
        <w:rPr>
          <w:b/>
          <w:bCs/>
        </w:rPr>
        <w:t xml:space="preserve">What we observe:</w:t>
      </w:r>
      <w:r>
        <w:t xml:space="preserve"> </w:t>
      </w:r>
      <w:r>
        <w:t xml:space="preserve">Positive performance, but with a lower-edge profile and higher sensitivity to costs.</w:t>
      </w:r>
      <w:r>
        <w:br/>
      </w:r>
      <w:r>
        <w:t xml:space="preserve">- Net PnL:</w:t>
      </w:r>
      <w:r>
        <w:t xml:space="preserve"> </w:t>
      </w:r>
      <w:r>
        <w:rPr>
          <w:b/>
          <w:bCs/>
        </w:rPr>
        <w:t xml:space="preserve">$11,208</w:t>
      </w:r>
      <w:r>
        <w:t xml:space="preserve"> </w:t>
      </w:r>
      <w:r>
        <w:t xml:space="preserve">(gross</w:t>
      </w:r>
      <w:r>
        <w:t xml:space="preserve"> </w:t>
      </w:r>
      <w:r>
        <w:rPr>
          <w:b/>
          <w:bCs/>
        </w:rPr>
        <w:t xml:space="preserve">$15,648</w:t>
      </w:r>
      <w:r>
        <w:t xml:space="preserve">), net Sharpe</w:t>
      </w:r>
      <w:r>
        <w:t xml:space="preserve"> </w:t>
      </w:r>
      <w:r>
        <w:rPr>
          <w:b/>
          <w:bCs/>
        </w:rPr>
        <w:t xml:space="preserve">1.67</w:t>
      </w:r>
      <w:r>
        <w:t xml:space="preserve">, net Calmar</w:t>
      </w:r>
      <w:r>
        <w:t xml:space="preserve"> </w:t>
      </w:r>
      <w:r>
        <w:rPr>
          <w:b/>
          <w:bCs/>
        </w:rPr>
        <w:t xml:space="preserve">4.82</w:t>
      </w:r>
      <w:r>
        <w:t xml:space="preserve">.</w:t>
      </w:r>
      <w:r>
        <w:br/>
      </w:r>
      <w:r>
        <w:t xml:space="preserve">- Turnover: avg daily transactions</w:t>
      </w:r>
      <w:r>
        <w:t xml:space="preserve"> </w:t>
      </w:r>
      <w:r>
        <w:rPr>
          <w:b/>
          <w:bCs/>
        </w:rPr>
        <w:t xml:space="preserve">5.69</w:t>
      </w:r>
      <w:r>
        <w:t xml:space="preserve">; gross→net cost drag</w:t>
      </w:r>
      <w:r>
        <w:t xml:space="preserve"> </w:t>
      </w:r>
      <w:r>
        <w:rPr>
          <w:b/>
          <w:bCs/>
        </w:rPr>
        <w:t xml:space="preserve">$4,440</w:t>
      </w:r>
      <w:r>
        <w:t xml:space="preserve">.</w:t>
      </w:r>
      <w:r>
        <w:br/>
      </w:r>
      <w:r>
        <w:rPr>
          <w:b/>
          <w:bCs/>
        </w:rPr>
        <w:t xml:space="preserve">Why (likely causes):</w:t>
      </w:r>
      <w:r>
        <w:t xml:space="preserve"> </w:t>
      </w:r>
      <w:r>
        <w:t xml:space="preserve">Main driver appears to be</w:t>
      </w:r>
      <w:r>
        <w:t xml:space="preserve"> </w:t>
      </w:r>
      <w:r>
        <w:rPr>
          <w:b/>
          <w:bCs/>
        </w:rPr>
        <w:t xml:space="preserve">SP (MR)</w:t>
      </w:r>
      <w:r>
        <w:t xml:space="preserve"> </w:t>
      </w:r>
      <w:r>
        <w:t xml:space="preserve">→ regime looks</w:t>
      </w:r>
      <w:r>
        <w:t xml:space="preserve"> </w:t>
      </w:r>
      <w:r>
        <w:rPr>
          <w:b/>
          <w:bCs/>
        </w:rPr>
        <w:t xml:space="preserve">choppy / mean-reverting</w:t>
      </w:r>
      <w:r>
        <w:t xml:space="preserve">. SP’s mean‑reversion leg dominates when prices oscillate around the slow EMA and breakouts frequently revert.</w:t>
      </w:r>
      <w:r>
        <w:br/>
      </w:r>
      <w:r>
        <w:rPr>
          <w:b/>
          <w:bCs/>
        </w:rPr>
        <w:t xml:space="preserve">Cost mechanism:</w:t>
      </w:r>
      <w:r>
        <w:t xml:space="preserve"> </w:t>
      </w:r>
      <w:r>
        <w:t xml:space="preserve">When the regime is less aligned, the strategy experiences more whipsaws/position flips, so transaction costs accumulate and net performance deteriorates versus gross.</w:t>
      </w:r>
    </w:p>
    <w:bookmarkStart w:id="40" w:name="q4-is-portfolio-nqsp"/>
    <w:p>
      <w:pPr>
        <w:pStyle w:val="Heading3"/>
      </w:pPr>
      <w:r>
        <w:t xml:space="preserve">2023Q4 (IS) — Portfolio NQ+SP</w:t>
      </w:r>
    </w:p>
    <w:bookmarkEnd w:id="40"/>
    <w:p>
      <w:pPr>
        <w:pStyle w:val="FirstParagraph"/>
      </w:pPr>
      <w:r>
        <w:drawing>
          <wp:inline>
            <wp:extent cx="5334000" cy="2725653"/>
            <wp:effectExtent b="0" l="0" r="0" t="0"/>
            <wp:docPr descr="" title="" id="42" name="Picture"/>
            <a:graphic>
              <a:graphicData uri="http://schemas.openxmlformats.org/drawingml/2006/picture">
                <pic:pic>
                  <pic:nvPicPr>
                    <pic:cNvPr descr="final_report_word_files/figure-docx/cell-4-output-11.png" id="43" name="Picture"/>
                    <pic:cNvPicPr>
                      <a:picLocks noChangeArrowheads="1" noChangeAspect="1"/>
                    </pic:cNvPicPr>
                  </pic:nvPicPr>
                  <pic:blipFill>
                    <a:blip r:embed="rId41"/>
                    <a:stretch>
                      <a:fillRect/>
                    </a:stretch>
                  </pic:blipFill>
                  <pic:spPr bwMode="auto">
                    <a:xfrm>
                      <a:off x="0" y="0"/>
                      <a:ext cx="5334000" cy="2725653"/>
                    </a:xfrm>
                    <a:prstGeom prst="rect">
                      <a:avLst/>
                    </a:prstGeom>
                    <a:noFill/>
                    <a:ln w="9525">
                      <a:noFill/>
                      <a:headEnd/>
                      <a:tailEnd/>
                    </a:ln>
                  </pic:spPr>
                </pic:pic>
              </a:graphicData>
            </a:graphic>
          </wp:inline>
        </w:drawing>
      </w:r>
    </w:p>
    <w:p>
      <w:pPr>
        <w:pStyle w:val="BodyText"/>
      </w:pPr>
      <w:r>
        <w:rPr>
          <w:b/>
          <w:bCs/>
        </w:rPr>
        <w:t xml:space="preserve">What we observe:</w:t>
      </w:r>
      <w:r>
        <w:t xml:space="preserve"> </w:t>
      </w:r>
      <w:r>
        <w:t xml:space="preserve">Positive performance, but with a lower-edge profile and higher sensitivity to costs.</w:t>
      </w:r>
      <w:r>
        <w:br/>
      </w:r>
      <w:r>
        <w:t xml:space="preserve">- Net PnL:</w:t>
      </w:r>
      <w:r>
        <w:t xml:space="preserve"> </w:t>
      </w:r>
      <w:r>
        <w:rPr>
          <w:b/>
          <w:bCs/>
        </w:rPr>
        <w:t xml:space="preserve">$11,801</w:t>
      </w:r>
      <w:r>
        <w:t xml:space="preserve"> </w:t>
      </w:r>
      <w:r>
        <w:t xml:space="preserve">(gross</w:t>
      </w:r>
      <w:r>
        <w:t xml:space="preserve"> </w:t>
      </w:r>
      <w:r>
        <w:rPr>
          <w:b/>
          <w:bCs/>
        </w:rPr>
        <w:t xml:space="preserve">$15,713</w:t>
      </w:r>
      <w:r>
        <w:t xml:space="preserve">), net Sharpe</w:t>
      </w:r>
      <w:r>
        <w:t xml:space="preserve"> </w:t>
      </w:r>
      <w:r>
        <w:rPr>
          <w:b/>
          <w:bCs/>
        </w:rPr>
        <w:t xml:space="preserve">1.84</w:t>
      </w:r>
      <w:r>
        <w:t xml:space="preserve">, net Calmar</w:t>
      </w:r>
      <w:r>
        <w:t xml:space="preserve"> </w:t>
      </w:r>
      <w:r>
        <w:rPr>
          <w:b/>
          <w:bCs/>
        </w:rPr>
        <w:t xml:space="preserve">5.49</w:t>
      </w:r>
      <w:r>
        <w:t xml:space="preserve">.</w:t>
      </w:r>
      <w:r>
        <w:br/>
      </w:r>
      <w:r>
        <w:t xml:space="preserve">- Turnover: avg daily transactions</w:t>
      </w:r>
      <w:r>
        <w:t xml:space="preserve"> </w:t>
      </w:r>
      <w:r>
        <w:rPr>
          <w:b/>
          <w:bCs/>
        </w:rPr>
        <w:t xml:space="preserve">5.09</w:t>
      </w:r>
      <w:r>
        <w:t xml:space="preserve">; gross→net cost drag</w:t>
      </w:r>
      <w:r>
        <w:t xml:space="preserve"> </w:t>
      </w:r>
      <w:r>
        <w:rPr>
          <w:b/>
          <w:bCs/>
        </w:rPr>
        <w:t xml:space="preserve">$3,912</w:t>
      </w:r>
      <w:r>
        <w:t xml:space="preserve">.</w:t>
      </w:r>
      <w:r>
        <w:br/>
      </w:r>
      <w:r>
        <w:rPr>
          <w:b/>
          <w:bCs/>
        </w:rPr>
        <w:t xml:space="preserve">Why (likely causes):</w:t>
      </w:r>
      <w:r>
        <w:t xml:space="preserve"> </w:t>
      </w:r>
      <w:r>
        <w:t xml:space="preserve">Main driver appears to be</w:t>
      </w:r>
      <w:r>
        <w:t xml:space="preserve"> </w:t>
      </w:r>
      <w:r>
        <w:rPr>
          <w:b/>
          <w:bCs/>
        </w:rPr>
        <w:t xml:space="preserve">NQ (MOM)</w:t>
      </w:r>
      <w:r>
        <w:t xml:space="preserve"> </w:t>
      </w:r>
      <w:r>
        <w:t xml:space="preserve">→ regime looks</w:t>
      </w:r>
      <w:r>
        <w:t xml:space="preserve"> </w:t>
      </w:r>
      <w:r>
        <w:rPr>
          <w:b/>
          <w:bCs/>
        </w:rPr>
        <w:t xml:space="preserve">trend / breakout-friendly</w:t>
      </w:r>
      <w:r>
        <w:t xml:space="preserve">. NQ’s momentum breakout leg dominates when intraday moves extend beyond bands and persist (fewer failed breakouts).</w:t>
      </w:r>
      <w:r>
        <w:br/>
      </w:r>
      <w:r>
        <w:rPr>
          <w:b/>
          <w:bCs/>
        </w:rPr>
        <w:t xml:space="preserve">Cost mechanism:</w:t>
      </w:r>
      <w:r>
        <w:t xml:space="preserve"> </w:t>
      </w:r>
      <w:r>
        <w:t xml:space="preserve">When the regime is less aligned, the strategy experiences more whipsaws/position flips, so transaction costs accumulate and net performance deteriorates versus gross.</w:t>
      </w:r>
    </w:p>
    <w:bookmarkStart w:id="44" w:name="q1-oos-portfolio-nqsp"/>
    <w:p>
      <w:pPr>
        <w:pStyle w:val="Heading3"/>
      </w:pPr>
      <w:r>
        <w:t xml:space="preserve">2024Q1 (OOS) — Portfolio NQ+SP</w:t>
      </w:r>
    </w:p>
    <w:bookmarkEnd w:id="44"/>
    <w:p>
      <w:pPr>
        <w:pStyle w:val="FirstParagraph"/>
      </w:pPr>
      <w:r>
        <w:drawing>
          <wp:inline>
            <wp:extent cx="5334000" cy="2694283"/>
            <wp:effectExtent b="0" l="0" r="0" t="0"/>
            <wp:docPr descr="" title="" id="46" name="Picture"/>
            <a:graphic>
              <a:graphicData uri="http://schemas.openxmlformats.org/drawingml/2006/picture">
                <pic:pic>
                  <pic:nvPicPr>
                    <pic:cNvPr descr="final_report_word_files/figure-docx/cell-4-output-14.png" id="47" name="Picture"/>
                    <pic:cNvPicPr>
                      <a:picLocks noChangeArrowheads="1" noChangeAspect="1"/>
                    </pic:cNvPicPr>
                  </pic:nvPicPr>
                  <pic:blipFill>
                    <a:blip r:embed="rId45"/>
                    <a:stretch>
                      <a:fillRect/>
                    </a:stretch>
                  </pic:blipFill>
                  <pic:spPr bwMode="auto">
                    <a:xfrm>
                      <a:off x="0" y="0"/>
                      <a:ext cx="5334000" cy="2694283"/>
                    </a:xfrm>
                    <a:prstGeom prst="rect">
                      <a:avLst/>
                    </a:prstGeom>
                    <a:noFill/>
                    <a:ln w="9525">
                      <a:noFill/>
                      <a:headEnd/>
                      <a:tailEnd/>
                    </a:ln>
                  </pic:spPr>
                </pic:pic>
              </a:graphicData>
            </a:graphic>
          </wp:inline>
        </w:drawing>
      </w:r>
    </w:p>
    <w:p>
      <w:pPr>
        <w:pStyle w:val="BodyText"/>
      </w:pPr>
      <w:r>
        <w:rPr>
          <w:b/>
          <w:bCs/>
        </w:rPr>
        <w:t xml:space="preserve">What we observe:</w:t>
      </w:r>
      <w:r>
        <w:t xml:space="preserve"> </w:t>
      </w:r>
      <w:r>
        <w:t xml:space="preserve">Weak/negative performance; drawdowns indicate the regime did not suit the fixed parameters.</w:t>
      </w:r>
      <w:r>
        <w:br/>
      </w:r>
      <w:r>
        <w:t xml:space="preserve">- Net PnL:</w:t>
      </w:r>
      <w:r>
        <w:t xml:space="preserve"> </w:t>
      </w:r>
      <m:oMath>
        <m:r>
          <m:rPr>
            <m:sty m:val="p"/>
          </m:rPr>
          <m:t>−</m:t>
        </m:r>
        <m:r>
          <m:t>21</m:t>
        </m:r>
        <m:r>
          <m:rPr>
            <m:sty m:val="p"/>
          </m:rPr>
          <m:t>,</m:t>
        </m:r>
        <m:r>
          <m:t>311</m:t>
        </m:r>
        <m:r>
          <m:rPr>
            <m:sty m:val="p"/>
          </m:rPr>
          <m:t>*</m:t>
        </m:r>
        <m:r>
          <m:rPr>
            <m:sty m:val="p"/>
          </m:rPr>
          <m:t>*</m:t>
        </m:r>
        <m:r>
          <m:rPr>
            <m:sty m:val="p"/>
          </m:rPr>
          <m:t>(</m:t>
        </m:r>
        <m:r>
          <m:t>g</m:t>
        </m:r>
        <m:r>
          <m:t>r</m:t>
        </m:r>
        <m:r>
          <m:t>o</m:t>
        </m:r>
        <m:r>
          <m:t>s</m:t>
        </m:r>
        <m:r>
          <m:t>s</m:t>
        </m:r>
        <m:r>
          <m:rPr>
            <m:sty m:val="p"/>
          </m:rPr>
          <m:t>*</m:t>
        </m:r>
        <m:r>
          <m:rPr>
            <m:sty m:val="p"/>
          </m:rPr>
          <m:t>*</m:t>
        </m:r>
      </m:oMath>
      <w:r>
        <w:rPr>
          <w:b/>
          <w:bCs/>
        </w:rPr>
        <w:t xml:space="preserve">-17,087</w:t>
      </w:r>
      <w:r>
        <w:t xml:space="preserve">), net Sharpe</w:t>
      </w:r>
      <w:r>
        <w:t xml:space="preserve"> </w:t>
      </w:r>
      <w:r>
        <w:rPr>
          <w:b/>
          <w:bCs/>
        </w:rPr>
        <w:t xml:space="preserve">-3.02</w:t>
      </w:r>
      <w:r>
        <w:t xml:space="preserve">, net Calmar</w:t>
      </w:r>
      <w:r>
        <w:t xml:space="preserve"> </w:t>
      </w:r>
      <w:r>
        <w:rPr>
          <w:b/>
          <w:bCs/>
        </w:rPr>
        <w:t xml:space="preserve">-4.07</w:t>
      </w:r>
      <w:r>
        <w:t xml:space="preserve">.</w:t>
      </w:r>
      <w:r>
        <w:br/>
      </w:r>
      <w:r>
        <w:t xml:space="preserve">- Turnover: avg daily transactions</w:t>
      </w:r>
      <w:r>
        <w:t xml:space="preserve"> </w:t>
      </w:r>
      <w:r>
        <w:rPr>
          <w:b/>
          <w:bCs/>
        </w:rPr>
        <w:t xml:space="preserve">5.50</w:t>
      </w:r>
      <w:r>
        <w:t xml:space="preserve">; gross→net cost drag</w:t>
      </w:r>
      <w:r>
        <w:t xml:space="preserve"> </w:t>
      </w:r>
      <w:r>
        <w:rPr>
          <w:b/>
          <w:bCs/>
        </w:rPr>
        <w:t xml:space="preserve">$4,224</w:t>
      </w:r>
      <w:r>
        <w:t xml:space="preserve">.</w:t>
      </w:r>
      <w:r>
        <w:br/>
      </w:r>
      <w:r>
        <w:rPr>
          <w:b/>
          <w:bCs/>
        </w:rPr>
        <w:t xml:space="preserve">Why (likely causes):</w:t>
      </w:r>
      <w:r>
        <w:t xml:space="preserve"> </w:t>
      </w:r>
      <w:r>
        <w:t xml:space="preserve">Main driver appears to be</w:t>
      </w:r>
      <w:r>
        <w:t xml:space="preserve"> </w:t>
      </w:r>
      <w:r>
        <w:rPr>
          <w:b/>
          <w:bCs/>
        </w:rPr>
        <w:t xml:space="preserve">NQ (MOM)</w:t>
      </w:r>
      <w:r>
        <w:t xml:space="preserve"> </w:t>
      </w:r>
      <w:r>
        <w:t xml:space="preserve">→ regime looks</w:t>
      </w:r>
      <w:r>
        <w:t xml:space="preserve"> </w:t>
      </w:r>
      <w:r>
        <w:rPr>
          <w:b/>
          <w:bCs/>
        </w:rPr>
        <w:t xml:space="preserve">trend / breakout-friendly</w:t>
      </w:r>
      <w:r>
        <w:t xml:space="preserve">. NQ’s momentum breakout leg dominates when intraday moves extend beyond bands and persist (fewer failed breakouts).</w:t>
      </w:r>
      <w:r>
        <w:br/>
      </w:r>
      <w:r>
        <w:rPr>
          <w:b/>
          <w:bCs/>
        </w:rPr>
        <w:t xml:space="preserve">Cost mechanism:</w:t>
      </w:r>
      <w:r>
        <w:t xml:space="preserve"> </w:t>
      </w:r>
      <w:r>
        <w:t xml:space="preserve">When the regime is less aligned, the strategy experiences more whipsaws/position flips, so transaction costs accumulate and net performance deteriorates versus gross.</w:t>
      </w:r>
    </w:p>
    <w:bookmarkStart w:id="48" w:name="q2-is-portfolio-nqsp"/>
    <w:p>
      <w:pPr>
        <w:pStyle w:val="Heading3"/>
      </w:pPr>
      <w:r>
        <w:t xml:space="preserve">2024Q2 (IS) — Portfolio NQ+SP</w:t>
      </w:r>
    </w:p>
    <w:bookmarkEnd w:id="48"/>
    <w:p>
      <w:pPr>
        <w:pStyle w:val="FirstParagraph"/>
      </w:pPr>
      <w:r>
        <w:drawing>
          <wp:inline>
            <wp:extent cx="5334000" cy="2695145"/>
            <wp:effectExtent b="0" l="0" r="0" t="0"/>
            <wp:docPr descr="" title="" id="50" name="Picture"/>
            <a:graphic>
              <a:graphicData uri="http://schemas.openxmlformats.org/drawingml/2006/picture">
                <pic:pic>
                  <pic:nvPicPr>
                    <pic:cNvPr descr="final_report_word_files/figure-docx/cell-4-output-17.png" id="51" name="Picture"/>
                    <pic:cNvPicPr>
                      <a:picLocks noChangeArrowheads="1" noChangeAspect="1"/>
                    </pic:cNvPicPr>
                  </pic:nvPicPr>
                  <pic:blipFill>
                    <a:blip r:embed="rId49"/>
                    <a:stretch>
                      <a:fillRect/>
                    </a:stretch>
                  </pic:blipFill>
                  <pic:spPr bwMode="auto">
                    <a:xfrm>
                      <a:off x="0" y="0"/>
                      <a:ext cx="5334000" cy="2695145"/>
                    </a:xfrm>
                    <a:prstGeom prst="rect">
                      <a:avLst/>
                    </a:prstGeom>
                    <a:noFill/>
                    <a:ln w="9525">
                      <a:noFill/>
                      <a:headEnd/>
                      <a:tailEnd/>
                    </a:ln>
                  </pic:spPr>
                </pic:pic>
              </a:graphicData>
            </a:graphic>
          </wp:inline>
        </w:drawing>
      </w:r>
    </w:p>
    <w:p>
      <w:pPr>
        <w:pStyle w:val="BodyText"/>
      </w:pPr>
      <w:r>
        <w:rPr>
          <w:b/>
          <w:bCs/>
        </w:rPr>
        <w:t xml:space="preserve">What we observe:</w:t>
      </w:r>
      <w:r>
        <w:t xml:space="preserve"> </w:t>
      </w:r>
      <w:r>
        <w:t xml:space="preserve">Positive performance, but with a lower-edge profile and higher sensitivity to costs.</w:t>
      </w:r>
      <w:r>
        <w:br/>
      </w:r>
      <w:r>
        <w:t xml:space="preserve">- Net PnL:</w:t>
      </w:r>
      <w:r>
        <w:t xml:space="preserve"> </w:t>
      </w:r>
      <w:r>
        <w:rPr>
          <w:b/>
          <w:bCs/>
        </w:rPr>
        <w:t xml:space="preserve">$8,759</w:t>
      </w:r>
      <w:r>
        <w:t xml:space="preserve"> </w:t>
      </w:r>
      <w:r>
        <w:t xml:space="preserve">(gross</w:t>
      </w:r>
      <w:r>
        <w:t xml:space="preserve"> </w:t>
      </w:r>
      <w:r>
        <w:rPr>
          <w:b/>
          <w:bCs/>
        </w:rPr>
        <w:t xml:space="preserve">$12,719</w:t>
      </w:r>
      <w:r>
        <w:t xml:space="preserve">), net Sharpe</w:t>
      </w:r>
      <w:r>
        <w:t xml:space="preserve"> </w:t>
      </w:r>
      <w:r>
        <w:rPr>
          <w:b/>
          <w:bCs/>
        </w:rPr>
        <w:t xml:space="preserve">0.96</w:t>
      </w:r>
      <w:r>
        <w:t xml:space="preserve">, net Calmar</w:t>
      </w:r>
      <w:r>
        <w:t xml:space="preserve"> </w:t>
      </w:r>
      <w:r>
        <w:rPr>
          <w:b/>
          <w:bCs/>
        </w:rPr>
        <w:t xml:space="preserve">1.78</w:t>
      </w:r>
      <w:r>
        <w:t xml:space="preserve">.</w:t>
      </w:r>
      <w:r>
        <w:br/>
      </w:r>
      <w:r>
        <w:t xml:space="preserve">- Turnover: avg daily transactions</w:t>
      </w:r>
      <w:r>
        <w:t xml:space="preserve"> </w:t>
      </w:r>
      <w:r>
        <w:rPr>
          <w:b/>
          <w:bCs/>
        </w:rPr>
        <w:t xml:space="preserve">5.08</w:t>
      </w:r>
      <w:r>
        <w:t xml:space="preserve">; gross→net cost drag</w:t>
      </w:r>
      <w:r>
        <w:t xml:space="preserve"> </w:t>
      </w:r>
      <w:r>
        <w:rPr>
          <w:b/>
          <w:bCs/>
        </w:rPr>
        <w:t xml:space="preserve">$3,960</w:t>
      </w:r>
      <w:r>
        <w:t xml:space="preserve">.</w:t>
      </w:r>
      <w:r>
        <w:br/>
      </w:r>
      <w:r>
        <w:rPr>
          <w:b/>
          <w:bCs/>
        </w:rPr>
        <w:t xml:space="preserve">Why (likely causes):</w:t>
      </w:r>
      <w:r>
        <w:t xml:space="preserve"> </w:t>
      </w:r>
      <w:r>
        <w:t xml:space="preserve">Main driver appears to be</w:t>
      </w:r>
      <w:r>
        <w:t xml:space="preserve"> </w:t>
      </w:r>
      <w:r>
        <w:rPr>
          <w:b/>
          <w:bCs/>
        </w:rPr>
        <w:t xml:space="preserve">SP (MR)</w:t>
      </w:r>
      <w:r>
        <w:t xml:space="preserve"> </w:t>
      </w:r>
      <w:r>
        <w:t xml:space="preserve">→ regime looks</w:t>
      </w:r>
      <w:r>
        <w:t xml:space="preserve"> </w:t>
      </w:r>
      <w:r>
        <w:rPr>
          <w:b/>
          <w:bCs/>
        </w:rPr>
        <w:t xml:space="preserve">choppy / mean-reverting</w:t>
      </w:r>
      <w:r>
        <w:t xml:space="preserve">. SP’s mean‑reversion leg dominates when prices oscillate around the slow EMA and breakouts frequently revert.</w:t>
      </w:r>
      <w:r>
        <w:br/>
      </w:r>
      <w:r>
        <w:rPr>
          <w:b/>
          <w:bCs/>
        </w:rPr>
        <w:t xml:space="preserve">Cost mechanism:</w:t>
      </w:r>
      <w:r>
        <w:t xml:space="preserve"> </w:t>
      </w:r>
      <w:r>
        <w:t xml:space="preserve">When the regime is less aligned, the strategy experiences more whipsaws/position flips, so transaction costs accumulate and net performance deteriorates versus gross.</w:t>
      </w:r>
    </w:p>
    <w:bookmarkStart w:id="52" w:name="q3-oos-portfolio-nqsp"/>
    <w:p>
      <w:pPr>
        <w:pStyle w:val="Heading3"/>
      </w:pPr>
      <w:r>
        <w:t xml:space="preserve">2024Q3 (OOS) — Portfolio NQ+SP</w:t>
      </w:r>
    </w:p>
    <w:bookmarkEnd w:id="52"/>
    <w:p>
      <w:pPr>
        <w:pStyle w:val="FirstParagraph"/>
      </w:pPr>
      <w:r>
        <w:drawing>
          <wp:inline>
            <wp:extent cx="5334000" cy="2746975"/>
            <wp:effectExtent b="0" l="0" r="0" t="0"/>
            <wp:docPr descr="" title="" id="54" name="Picture"/>
            <a:graphic>
              <a:graphicData uri="http://schemas.openxmlformats.org/drawingml/2006/picture">
                <pic:pic>
                  <pic:nvPicPr>
                    <pic:cNvPr descr="final_report_word_files/figure-docx/cell-4-output-20.png" id="55" name="Picture"/>
                    <pic:cNvPicPr>
                      <a:picLocks noChangeArrowheads="1" noChangeAspect="1"/>
                    </pic:cNvPicPr>
                  </pic:nvPicPr>
                  <pic:blipFill>
                    <a:blip r:embed="rId53"/>
                    <a:stretch>
                      <a:fillRect/>
                    </a:stretch>
                  </pic:blipFill>
                  <pic:spPr bwMode="auto">
                    <a:xfrm>
                      <a:off x="0" y="0"/>
                      <a:ext cx="5334000" cy="2746975"/>
                    </a:xfrm>
                    <a:prstGeom prst="rect">
                      <a:avLst/>
                    </a:prstGeom>
                    <a:noFill/>
                    <a:ln w="9525">
                      <a:noFill/>
                      <a:headEnd/>
                      <a:tailEnd/>
                    </a:ln>
                  </pic:spPr>
                </pic:pic>
              </a:graphicData>
            </a:graphic>
          </wp:inline>
        </w:drawing>
      </w:r>
    </w:p>
    <w:p>
      <w:pPr>
        <w:pStyle w:val="BodyText"/>
      </w:pPr>
      <w:r>
        <w:rPr>
          <w:b/>
          <w:bCs/>
        </w:rPr>
        <w:t xml:space="preserve">What we observe:</w:t>
      </w:r>
      <w:r>
        <w:t xml:space="preserve"> </w:t>
      </w:r>
      <w:r>
        <w:t xml:space="preserve">Weak/negative performance; drawdowns indicate the regime did not suit the fixed parameters.</w:t>
      </w:r>
      <w:r>
        <w:br/>
      </w:r>
      <w:r>
        <w:t xml:space="preserve">- Net PnL:</w:t>
      </w:r>
      <w:r>
        <w:t xml:space="preserve"> </w:t>
      </w:r>
      <m:oMath>
        <m:r>
          <m:rPr>
            <m:sty m:val="p"/>
          </m:rPr>
          <m:t>−</m:t>
        </m:r>
        <m:r>
          <m:t>47</m:t>
        </m:r>
        <m:r>
          <m:rPr>
            <m:sty m:val="p"/>
          </m:rPr>
          <m:t>,</m:t>
        </m:r>
        <m:r>
          <m:t>326</m:t>
        </m:r>
        <m:r>
          <m:rPr>
            <m:sty m:val="p"/>
          </m:rPr>
          <m:t>*</m:t>
        </m:r>
        <m:r>
          <m:rPr>
            <m:sty m:val="p"/>
          </m:rPr>
          <m:t>*</m:t>
        </m:r>
        <m:r>
          <m:rPr>
            <m:sty m:val="p"/>
          </m:rPr>
          <m:t>(</m:t>
        </m:r>
        <m:r>
          <m:t>g</m:t>
        </m:r>
        <m:r>
          <m:t>r</m:t>
        </m:r>
        <m:r>
          <m:t>o</m:t>
        </m:r>
        <m:r>
          <m:t>s</m:t>
        </m:r>
        <m:r>
          <m:t>s</m:t>
        </m:r>
        <m:r>
          <m:rPr>
            <m:sty m:val="p"/>
          </m:rPr>
          <m:t>*</m:t>
        </m:r>
        <m:r>
          <m:rPr>
            <m:sty m:val="p"/>
          </m:rPr>
          <m:t>*</m:t>
        </m:r>
      </m:oMath>
      <w:r>
        <w:rPr>
          <w:b/>
          <w:bCs/>
        </w:rPr>
        <w:t xml:space="preserve">-43,102</w:t>
      </w:r>
      <w:r>
        <w:t xml:space="preserve">), net Sharpe</w:t>
      </w:r>
      <w:r>
        <w:t xml:space="preserve"> </w:t>
      </w:r>
      <w:r>
        <w:rPr>
          <w:b/>
          <w:bCs/>
        </w:rPr>
        <w:t xml:space="preserve">-3.85</w:t>
      </w:r>
      <w:r>
        <w:t xml:space="preserve">, net Calmar</w:t>
      </w:r>
      <w:r>
        <w:t xml:space="preserve"> </w:t>
      </w:r>
      <w:r>
        <w:rPr>
          <w:b/>
          <w:bCs/>
        </w:rPr>
        <w:t xml:space="preserve">-3.02</w:t>
      </w:r>
      <w:r>
        <w:t xml:space="preserve">.</w:t>
      </w:r>
      <w:r>
        <w:br/>
      </w:r>
      <w:r>
        <w:t xml:space="preserve">- Turnover: avg daily transactions</w:t>
      </w:r>
      <w:r>
        <w:t xml:space="preserve"> </w:t>
      </w:r>
      <w:r>
        <w:rPr>
          <w:b/>
          <w:bCs/>
        </w:rPr>
        <w:t xml:space="preserve">5.33</w:t>
      </w:r>
      <w:r>
        <w:t xml:space="preserve">; gross→net cost drag</w:t>
      </w:r>
      <w:r>
        <w:t xml:space="preserve"> </w:t>
      </w:r>
      <w:r>
        <w:rPr>
          <w:b/>
          <w:bCs/>
        </w:rPr>
        <w:t xml:space="preserve">$4,224</w:t>
      </w:r>
      <w:r>
        <w:t xml:space="preserve">.</w:t>
      </w:r>
      <w:r>
        <w:br/>
      </w:r>
      <w:r>
        <w:rPr>
          <w:b/>
          <w:bCs/>
        </w:rPr>
        <w:t xml:space="preserve">Why (likely causes):</w:t>
      </w:r>
      <w:r>
        <w:t xml:space="preserve"> </w:t>
      </w:r>
      <w:r>
        <w:t xml:space="preserve">Main driver appears to be</w:t>
      </w:r>
      <w:r>
        <w:t xml:space="preserve"> </w:t>
      </w:r>
      <w:r>
        <w:rPr>
          <w:b/>
          <w:bCs/>
        </w:rPr>
        <w:t xml:space="preserve">NQ (MOM)</w:t>
      </w:r>
      <w:r>
        <w:t xml:space="preserve"> </w:t>
      </w:r>
      <w:r>
        <w:t xml:space="preserve">→ regime looks</w:t>
      </w:r>
      <w:r>
        <w:t xml:space="preserve"> </w:t>
      </w:r>
      <w:r>
        <w:rPr>
          <w:b/>
          <w:bCs/>
        </w:rPr>
        <w:t xml:space="preserve">trend / breakout-friendly</w:t>
      </w:r>
      <w:r>
        <w:t xml:space="preserve">. NQ’s momentum breakout leg dominates when intraday moves extend beyond bands and persist (fewer failed breakouts).</w:t>
      </w:r>
      <w:r>
        <w:br/>
      </w:r>
      <w:r>
        <w:rPr>
          <w:b/>
          <w:bCs/>
        </w:rPr>
        <w:t xml:space="preserve">Cost mechanism:</w:t>
      </w:r>
      <w:r>
        <w:t xml:space="preserve"> </w:t>
      </w:r>
      <w:r>
        <w:t xml:space="preserve">When the regime is less aligned, the strategy experiences more whipsaws/position flips, so transaction costs accumulate and net performance deteriorates versus gross.</w:t>
      </w:r>
    </w:p>
    <w:bookmarkStart w:id="56" w:name="q4-is-portfolio-nqsp-1"/>
    <w:p>
      <w:pPr>
        <w:pStyle w:val="Heading3"/>
      </w:pPr>
      <w:r>
        <w:t xml:space="preserve">2024Q4 (IS) — Portfolio NQ+SP</w:t>
      </w:r>
    </w:p>
    <w:bookmarkEnd w:id="56"/>
    <w:p>
      <w:pPr>
        <w:pStyle w:val="FirstParagraph"/>
      </w:pPr>
      <w:r>
        <w:drawing>
          <wp:inline>
            <wp:extent cx="5334000" cy="2771364"/>
            <wp:effectExtent b="0" l="0" r="0" t="0"/>
            <wp:docPr descr="" title="" id="58" name="Picture"/>
            <a:graphic>
              <a:graphicData uri="http://schemas.openxmlformats.org/drawingml/2006/picture">
                <pic:pic>
                  <pic:nvPicPr>
                    <pic:cNvPr descr="final_report_word_files/figure-docx/cell-4-output-23.png" id="59" name="Picture"/>
                    <pic:cNvPicPr>
                      <a:picLocks noChangeArrowheads="1" noChangeAspect="1"/>
                    </pic:cNvPicPr>
                  </pic:nvPicPr>
                  <pic:blipFill>
                    <a:blip r:embed="rId57"/>
                    <a:stretch>
                      <a:fillRect/>
                    </a:stretch>
                  </pic:blipFill>
                  <pic:spPr bwMode="auto">
                    <a:xfrm>
                      <a:off x="0" y="0"/>
                      <a:ext cx="5334000" cy="2771364"/>
                    </a:xfrm>
                    <a:prstGeom prst="rect">
                      <a:avLst/>
                    </a:prstGeom>
                    <a:noFill/>
                    <a:ln w="9525">
                      <a:noFill/>
                      <a:headEnd/>
                      <a:tailEnd/>
                    </a:ln>
                  </pic:spPr>
                </pic:pic>
              </a:graphicData>
            </a:graphic>
          </wp:inline>
        </w:drawing>
      </w:r>
    </w:p>
    <w:p>
      <w:pPr>
        <w:pStyle w:val="BodyText"/>
      </w:pPr>
      <w:r>
        <w:rPr>
          <w:b/>
          <w:bCs/>
        </w:rPr>
        <w:t xml:space="preserve">What we observe:</w:t>
      </w:r>
      <w:r>
        <w:t xml:space="preserve"> </w:t>
      </w:r>
      <w:r>
        <w:t xml:space="preserve">Strong positive performance with a clear upward net drift.</w:t>
      </w:r>
      <w:r>
        <w:br/>
      </w:r>
      <w:r>
        <w:t xml:space="preserve">- Net PnL:</w:t>
      </w:r>
      <w:r>
        <w:t xml:space="preserve"> </w:t>
      </w:r>
      <w:r>
        <w:rPr>
          <w:b/>
          <w:bCs/>
        </w:rPr>
        <w:t xml:space="preserve">$25,028</w:t>
      </w:r>
      <w:r>
        <w:t xml:space="preserve"> </w:t>
      </w:r>
      <w:r>
        <w:t xml:space="preserve">(gross</w:t>
      </w:r>
      <w:r>
        <w:t xml:space="preserve"> </w:t>
      </w:r>
      <w:r>
        <w:rPr>
          <w:b/>
          <w:bCs/>
        </w:rPr>
        <w:t xml:space="preserve">$28,820</w:t>
      </w:r>
      <w:r>
        <w:t xml:space="preserve">), net Sharpe</w:t>
      </w:r>
      <w:r>
        <w:t xml:space="preserve"> </w:t>
      </w:r>
      <w:r>
        <w:rPr>
          <w:b/>
          <w:bCs/>
        </w:rPr>
        <w:t xml:space="preserve">2.76</w:t>
      </w:r>
      <w:r>
        <w:t xml:space="preserve">, net Calmar</w:t>
      </w:r>
      <w:r>
        <w:t xml:space="preserve"> </w:t>
      </w:r>
      <w:r>
        <w:rPr>
          <w:b/>
          <w:bCs/>
        </w:rPr>
        <w:t xml:space="preserve">13.78</w:t>
      </w:r>
      <w:r>
        <w:t xml:space="preserve">.</w:t>
      </w:r>
      <w:r>
        <w:br/>
      </w:r>
      <w:r>
        <w:t xml:space="preserve">- Turnover: avg daily transactions</w:t>
      </w:r>
      <w:r>
        <w:t xml:space="preserve"> </w:t>
      </w:r>
      <w:r>
        <w:rPr>
          <w:b/>
          <w:bCs/>
        </w:rPr>
        <w:t xml:space="preserve">4.86</w:t>
      </w:r>
      <w:r>
        <w:t xml:space="preserve">; gross→net cost drag</w:t>
      </w:r>
      <w:r>
        <w:t xml:space="preserve"> </w:t>
      </w:r>
      <w:r>
        <w:rPr>
          <w:b/>
          <w:bCs/>
        </w:rPr>
        <w:t xml:space="preserve">$3,792</w:t>
      </w:r>
      <w:r>
        <w:t xml:space="preserve">.</w:t>
      </w:r>
      <w:r>
        <w:br/>
      </w:r>
      <w:r>
        <w:rPr>
          <w:b/>
          <w:bCs/>
        </w:rPr>
        <w:t xml:space="preserve">Why (likely causes):</w:t>
      </w:r>
      <w:r>
        <w:t xml:space="preserve"> </w:t>
      </w:r>
      <w:r>
        <w:t xml:space="preserve">Main driver appears to be</w:t>
      </w:r>
      <w:r>
        <w:t xml:space="preserve"> </w:t>
      </w:r>
      <w:r>
        <w:rPr>
          <w:b/>
          <w:bCs/>
        </w:rPr>
        <w:t xml:space="preserve">NQ (MOM)</w:t>
      </w:r>
      <w:r>
        <w:t xml:space="preserve"> </w:t>
      </w:r>
      <w:r>
        <w:t xml:space="preserve">→ regime looks</w:t>
      </w:r>
      <w:r>
        <w:t xml:space="preserve"> </w:t>
      </w:r>
      <w:r>
        <w:rPr>
          <w:b/>
          <w:bCs/>
        </w:rPr>
        <w:t xml:space="preserve">trend / breakout-friendly</w:t>
      </w:r>
      <w:r>
        <w:t xml:space="preserve">. NQ’s momentum breakout leg dominates when intraday moves extend beyond bands and persist (fewer failed breakouts).</w:t>
      </w:r>
      <w:r>
        <w:br/>
      </w:r>
      <w:r>
        <w:rPr>
          <w:b/>
          <w:bCs/>
        </w:rPr>
        <w:t xml:space="preserve">Cost mechanism:</w:t>
      </w:r>
      <w:r>
        <w:t xml:space="preserve"> </w:t>
      </w:r>
      <w:r>
        <w:t xml:space="preserve">When the regime is less aligned, the strategy experiences more whipsaws/position flips, so transaction costs accumulate and net performance deteriorates versus gross.</w:t>
      </w:r>
    </w:p>
    <w:bookmarkStart w:id="60" w:name="q1-is-portfolio-nqsp-1"/>
    <w:p>
      <w:pPr>
        <w:pStyle w:val="Heading3"/>
      </w:pPr>
      <w:r>
        <w:t xml:space="preserve">2025Q1 (IS) — Portfolio NQ+SP</w:t>
      </w:r>
    </w:p>
    <w:bookmarkEnd w:id="60"/>
    <w:p>
      <w:pPr>
        <w:pStyle w:val="FirstParagraph"/>
      </w:pPr>
      <w:r>
        <w:drawing>
          <wp:inline>
            <wp:extent cx="5334000" cy="2777758"/>
            <wp:effectExtent b="0" l="0" r="0" t="0"/>
            <wp:docPr descr="" title="" id="62" name="Picture"/>
            <a:graphic>
              <a:graphicData uri="http://schemas.openxmlformats.org/drawingml/2006/picture">
                <pic:pic>
                  <pic:nvPicPr>
                    <pic:cNvPr descr="final_report_word_files/figure-docx/cell-4-output-26.png" id="63" name="Picture"/>
                    <pic:cNvPicPr>
                      <a:picLocks noChangeArrowheads="1" noChangeAspect="1"/>
                    </pic:cNvPicPr>
                  </pic:nvPicPr>
                  <pic:blipFill>
                    <a:blip r:embed="rId61"/>
                    <a:stretch>
                      <a:fillRect/>
                    </a:stretch>
                  </pic:blipFill>
                  <pic:spPr bwMode="auto">
                    <a:xfrm>
                      <a:off x="0" y="0"/>
                      <a:ext cx="5334000" cy="2777758"/>
                    </a:xfrm>
                    <a:prstGeom prst="rect">
                      <a:avLst/>
                    </a:prstGeom>
                    <a:noFill/>
                    <a:ln w="9525">
                      <a:noFill/>
                      <a:headEnd/>
                      <a:tailEnd/>
                    </a:ln>
                  </pic:spPr>
                </pic:pic>
              </a:graphicData>
            </a:graphic>
          </wp:inline>
        </w:drawing>
      </w:r>
    </w:p>
    <w:p>
      <w:pPr>
        <w:pStyle w:val="BodyText"/>
      </w:pPr>
      <w:r>
        <w:rPr>
          <w:b/>
          <w:bCs/>
        </w:rPr>
        <w:t xml:space="preserve">What we observe:</w:t>
      </w:r>
      <w:r>
        <w:t xml:space="preserve"> </w:t>
      </w:r>
      <w:r>
        <w:t xml:space="preserve">Strong positive performance with a clear upward net drift.</w:t>
      </w:r>
      <w:r>
        <w:br/>
      </w:r>
      <w:r>
        <w:t xml:space="preserve">- Net PnL:</w:t>
      </w:r>
      <w:r>
        <w:t xml:space="preserve"> </w:t>
      </w:r>
      <w:r>
        <w:rPr>
          <w:b/>
          <w:bCs/>
        </w:rPr>
        <w:t xml:space="preserve">$32,022</w:t>
      </w:r>
      <w:r>
        <w:t xml:space="preserve"> </w:t>
      </w:r>
      <w:r>
        <w:t xml:space="preserve">(gross</w:t>
      </w:r>
      <w:r>
        <w:t xml:space="preserve"> </w:t>
      </w:r>
      <w:r>
        <w:rPr>
          <w:b/>
          <w:bCs/>
        </w:rPr>
        <w:t xml:space="preserve">$36,270</w:t>
      </w:r>
      <w:r>
        <w:t xml:space="preserve">), net Sharpe</w:t>
      </w:r>
      <w:r>
        <w:t xml:space="preserve"> </w:t>
      </w:r>
      <w:r>
        <w:rPr>
          <w:b/>
          <w:bCs/>
        </w:rPr>
        <w:t xml:space="preserve">3.43</w:t>
      </w:r>
      <w:r>
        <w:t xml:space="preserve">, net Calmar</w:t>
      </w:r>
      <w:r>
        <w:t xml:space="preserve"> </w:t>
      </w:r>
      <w:r>
        <w:rPr>
          <w:b/>
          <w:bCs/>
        </w:rPr>
        <w:t xml:space="preserve">9.28</w:t>
      </w:r>
      <w:r>
        <w:t xml:space="preserve">.</w:t>
      </w:r>
      <w:r>
        <w:br/>
      </w:r>
      <w:r>
        <w:t xml:space="preserve">- Turnover: avg daily transactions</w:t>
      </w:r>
      <w:r>
        <w:t xml:space="preserve"> </w:t>
      </w:r>
      <w:r>
        <w:rPr>
          <w:b/>
          <w:bCs/>
        </w:rPr>
        <w:t xml:space="preserve">5.62</w:t>
      </w:r>
      <w:r>
        <w:t xml:space="preserve">; gross→net cost drag</w:t>
      </w:r>
      <w:r>
        <w:t xml:space="preserve"> </w:t>
      </w:r>
      <w:r>
        <w:rPr>
          <w:b/>
          <w:bCs/>
        </w:rPr>
        <w:t xml:space="preserve">$4,248</w:t>
      </w:r>
      <w:r>
        <w:t xml:space="preserve">.</w:t>
      </w:r>
      <w:r>
        <w:br/>
      </w:r>
      <w:r>
        <w:rPr>
          <w:b/>
          <w:bCs/>
        </w:rPr>
        <w:t xml:space="preserve">Why (likely causes):</w:t>
      </w:r>
      <w:r>
        <w:t xml:space="preserve"> </w:t>
      </w:r>
      <w:r>
        <w:t xml:space="preserve">Main driver appears to be</w:t>
      </w:r>
      <w:r>
        <w:t xml:space="preserve"> </w:t>
      </w:r>
      <w:r>
        <w:rPr>
          <w:b/>
          <w:bCs/>
        </w:rPr>
        <w:t xml:space="preserve">SP (MR)</w:t>
      </w:r>
      <w:r>
        <w:t xml:space="preserve"> </w:t>
      </w:r>
      <w:r>
        <w:t xml:space="preserve">→ regime looks</w:t>
      </w:r>
      <w:r>
        <w:t xml:space="preserve"> </w:t>
      </w:r>
      <w:r>
        <w:rPr>
          <w:b/>
          <w:bCs/>
        </w:rPr>
        <w:t xml:space="preserve">choppy / mean-reverting</w:t>
      </w:r>
      <w:r>
        <w:t xml:space="preserve">. SP’s mean‑reversion leg dominates when prices oscillate around the slow EMA and breakouts frequently revert.</w:t>
      </w:r>
      <w:r>
        <w:br/>
      </w:r>
      <w:r>
        <w:rPr>
          <w:b/>
          <w:bCs/>
        </w:rPr>
        <w:t xml:space="preserve">Cost mechanism:</w:t>
      </w:r>
      <w:r>
        <w:t xml:space="preserve"> </w:t>
      </w:r>
      <w:r>
        <w:t xml:space="preserve">When the regime is less aligned, the strategy experiences more whipsaws/position flips, so transaction costs accumulate and net performance deteriorates versus gross.</w:t>
      </w:r>
    </w:p>
    <w:bookmarkStart w:id="64" w:name="q2-is-portfolio-nqsp-1"/>
    <w:p>
      <w:pPr>
        <w:pStyle w:val="Heading3"/>
      </w:pPr>
      <w:r>
        <w:t xml:space="preserve">2025Q2 (IS) — Portfolio NQ+SP</w:t>
      </w:r>
    </w:p>
    <w:bookmarkEnd w:id="64"/>
    <w:p>
      <w:pPr>
        <w:pStyle w:val="FirstParagraph"/>
      </w:pPr>
      <w:r>
        <w:drawing>
          <wp:inline>
            <wp:extent cx="5334000" cy="2746975"/>
            <wp:effectExtent b="0" l="0" r="0" t="0"/>
            <wp:docPr descr="" title="" id="66" name="Picture"/>
            <a:graphic>
              <a:graphicData uri="http://schemas.openxmlformats.org/drawingml/2006/picture">
                <pic:pic>
                  <pic:nvPicPr>
                    <pic:cNvPr descr="final_report_word_files/figure-docx/cell-4-output-29.png" id="67" name="Picture"/>
                    <pic:cNvPicPr>
                      <a:picLocks noChangeArrowheads="1" noChangeAspect="1"/>
                    </pic:cNvPicPr>
                  </pic:nvPicPr>
                  <pic:blipFill>
                    <a:blip r:embed="rId65"/>
                    <a:stretch>
                      <a:fillRect/>
                    </a:stretch>
                  </pic:blipFill>
                  <pic:spPr bwMode="auto">
                    <a:xfrm>
                      <a:off x="0" y="0"/>
                      <a:ext cx="5334000" cy="2746975"/>
                    </a:xfrm>
                    <a:prstGeom prst="rect">
                      <a:avLst/>
                    </a:prstGeom>
                    <a:noFill/>
                    <a:ln w="9525">
                      <a:noFill/>
                      <a:headEnd/>
                      <a:tailEnd/>
                    </a:ln>
                  </pic:spPr>
                </pic:pic>
              </a:graphicData>
            </a:graphic>
          </wp:inline>
        </w:drawing>
      </w:r>
    </w:p>
    <w:p>
      <w:pPr>
        <w:pStyle w:val="BodyText"/>
      </w:pPr>
      <w:r>
        <w:rPr>
          <w:b/>
          <w:bCs/>
        </w:rPr>
        <w:t xml:space="preserve">What we observe:</w:t>
      </w:r>
      <w:r>
        <w:t xml:space="preserve"> </w:t>
      </w:r>
      <w:r>
        <w:t xml:space="preserve">Positive performance, but with a lower-edge profile and higher sensitivity to costs.</w:t>
      </w:r>
      <w:r>
        <w:br/>
      </w:r>
      <w:r>
        <w:t xml:space="preserve">- Net PnL:</w:t>
      </w:r>
      <w:r>
        <w:t xml:space="preserve"> </w:t>
      </w:r>
      <w:r>
        <w:rPr>
          <w:b/>
          <w:bCs/>
        </w:rPr>
        <w:t xml:space="preserve">$46,126</w:t>
      </w:r>
      <w:r>
        <w:t xml:space="preserve"> </w:t>
      </w:r>
      <w:r>
        <w:t xml:space="preserve">(gross</w:t>
      </w:r>
      <w:r>
        <w:t xml:space="preserve"> </w:t>
      </w:r>
      <w:r>
        <w:rPr>
          <w:b/>
          <w:bCs/>
        </w:rPr>
        <w:t xml:space="preserve">$49,990</w:t>
      </w:r>
      <w:r>
        <w:t xml:space="preserve">), net Sharpe</w:t>
      </w:r>
      <w:r>
        <w:t xml:space="preserve"> </w:t>
      </w:r>
      <w:r>
        <w:rPr>
          <w:b/>
          <w:bCs/>
        </w:rPr>
        <w:t xml:space="preserve">1.69</w:t>
      </w:r>
      <w:r>
        <w:t xml:space="preserve">, net Calmar</w:t>
      </w:r>
      <w:r>
        <w:t xml:space="preserve"> </w:t>
      </w:r>
      <w:r>
        <w:rPr>
          <w:b/>
          <w:bCs/>
        </w:rPr>
        <w:t xml:space="preserve">9.18</w:t>
      </w:r>
      <w:r>
        <w:t xml:space="preserve">.</w:t>
      </w:r>
      <w:r>
        <w:br/>
      </w:r>
      <w:r>
        <w:t xml:space="preserve">- Turnover: avg daily transactions</w:t>
      </w:r>
      <w:r>
        <w:t xml:space="preserve"> </w:t>
      </w:r>
      <w:r>
        <w:rPr>
          <w:b/>
          <w:bCs/>
        </w:rPr>
        <w:t xml:space="preserve">4.95</w:t>
      </w:r>
      <w:r>
        <w:t xml:space="preserve">; gross→net cost drag</w:t>
      </w:r>
      <w:r>
        <w:t xml:space="preserve"> </w:t>
      </w:r>
      <w:r>
        <w:rPr>
          <w:b/>
          <w:bCs/>
        </w:rPr>
        <w:t xml:space="preserve">$3,864</w:t>
      </w:r>
      <w:r>
        <w:t xml:space="preserve">.</w:t>
      </w:r>
      <w:r>
        <w:br/>
      </w:r>
      <w:r>
        <w:rPr>
          <w:b/>
          <w:bCs/>
        </w:rPr>
        <w:t xml:space="preserve">Why (likely causes):</w:t>
      </w:r>
      <w:r>
        <w:t xml:space="preserve"> </w:t>
      </w:r>
      <w:r>
        <w:t xml:space="preserve">Main driver appears to be</w:t>
      </w:r>
      <w:r>
        <w:t xml:space="preserve"> </w:t>
      </w:r>
      <w:r>
        <w:rPr>
          <w:b/>
          <w:bCs/>
        </w:rPr>
        <w:t xml:space="preserve">SP (MR)</w:t>
      </w:r>
      <w:r>
        <w:t xml:space="preserve"> </w:t>
      </w:r>
      <w:r>
        <w:t xml:space="preserve">→ regime looks</w:t>
      </w:r>
      <w:r>
        <w:t xml:space="preserve"> </w:t>
      </w:r>
      <w:r>
        <w:rPr>
          <w:b/>
          <w:bCs/>
        </w:rPr>
        <w:t xml:space="preserve">choppy / mean-reverting</w:t>
      </w:r>
      <w:r>
        <w:t xml:space="preserve">. SP’s mean‑reversion leg dominates when prices oscillate around the slow EMA and breakouts frequently revert.</w:t>
      </w:r>
      <w:r>
        <w:br/>
      </w:r>
      <w:r>
        <w:rPr>
          <w:b/>
          <w:bCs/>
        </w:rPr>
        <w:t xml:space="preserve">Cost mechanism:</w:t>
      </w:r>
      <w:r>
        <w:t xml:space="preserve"> </w:t>
      </w:r>
      <w:r>
        <w:t xml:space="preserve">When the regime is less aligned, the strategy experiences more whipsaws/position flips, so transaction costs accumulate and net performance deteriorates versus gross.</w:t>
      </w:r>
    </w:p>
    <w:bookmarkStart w:id="68" w:name="q3-oos-portfolio-nqsp-1"/>
    <w:p>
      <w:pPr>
        <w:pStyle w:val="Heading3"/>
      </w:pPr>
      <w:r>
        <w:t xml:space="preserve">2025Q3 (OOS) — Portfolio NQ+SP</w:t>
      </w:r>
    </w:p>
    <w:bookmarkEnd w:id="68"/>
    <w:p>
      <w:pPr>
        <w:pStyle w:val="FirstParagraph"/>
      </w:pPr>
      <w:r>
        <w:drawing>
          <wp:inline>
            <wp:extent cx="5334000" cy="2746975"/>
            <wp:effectExtent b="0" l="0" r="0" t="0"/>
            <wp:docPr descr="" title="" id="70" name="Picture"/>
            <a:graphic>
              <a:graphicData uri="http://schemas.openxmlformats.org/drawingml/2006/picture">
                <pic:pic>
                  <pic:nvPicPr>
                    <pic:cNvPr descr="final_report_word_files/figure-docx/cell-4-output-32.png" id="71" name="Picture"/>
                    <pic:cNvPicPr>
                      <a:picLocks noChangeArrowheads="1" noChangeAspect="1"/>
                    </pic:cNvPicPr>
                  </pic:nvPicPr>
                  <pic:blipFill>
                    <a:blip r:embed="rId69"/>
                    <a:stretch>
                      <a:fillRect/>
                    </a:stretch>
                  </pic:blipFill>
                  <pic:spPr bwMode="auto">
                    <a:xfrm>
                      <a:off x="0" y="0"/>
                      <a:ext cx="5334000" cy="2746975"/>
                    </a:xfrm>
                    <a:prstGeom prst="rect">
                      <a:avLst/>
                    </a:prstGeom>
                    <a:noFill/>
                    <a:ln w="9525">
                      <a:noFill/>
                      <a:headEnd/>
                      <a:tailEnd/>
                    </a:ln>
                  </pic:spPr>
                </pic:pic>
              </a:graphicData>
            </a:graphic>
          </wp:inline>
        </w:drawing>
      </w:r>
    </w:p>
    <w:p>
      <w:pPr>
        <w:pStyle w:val="BodyText"/>
      </w:pPr>
      <w:r>
        <w:rPr>
          <w:b/>
          <w:bCs/>
        </w:rPr>
        <w:t xml:space="preserve">What we observe:</w:t>
      </w:r>
      <w:r>
        <w:t xml:space="preserve"> </w:t>
      </w:r>
      <w:r>
        <w:t xml:space="preserve">Weak/negative performance; drawdowns indicate the regime did not suit the fixed parameters.</w:t>
      </w:r>
      <w:r>
        <w:br/>
      </w:r>
      <w:r>
        <w:t xml:space="preserve">- Net PnL:</w:t>
      </w:r>
      <w:r>
        <w:t xml:space="preserve"> </w:t>
      </w:r>
      <m:oMath>
        <m:r>
          <m:rPr>
            <m:sty m:val="p"/>
          </m:rPr>
          <m:t>−</m:t>
        </m:r>
        <m:r>
          <m:t>29</m:t>
        </m:r>
        <m:r>
          <m:rPr>
            <m:sty m:val="p"/>
          </m:rPr>
          <m:t>,</m:t>
        </m:r>
        <m:r>
          <m:t>580</m:t>
        </m:r>
        <m:r>
          <m:rPr>
            <m:sty m:val="p"/>
          </m:rPr>
          <m:t>*</m:t>
        </m:r>
        <m:r>
          <m:rPr>
            <m:sty m:val="p"/>
          </m:rPr>
          <m:t>*</m:t>
        </m:r>
        <m:r>
          <m:rPr>
            <m:sty m:val="p"/>
          </m:rPr>
          <m:t>(</m:t>
        </m:r>
        <m:r>
          <m:t>g</m:t>
        </m:r>
        <m:r>
          <m:t>r</m:t>
        </m:r>
        <m:r>
          <m:t>o</m:t>
        </m:r>
        <m:r>
          <m:t>s</m:t>
        </m:r>
        <m:r>
          <m:t>s</m:t>
        </m:r>
        <m:r>
          <m:rPr>
            <m:sty m:val="p"/>
          </m:rPr>
          <m:t>*</m:t>
        </m:r>
        <m:r>
          <m:rPr>
            <m:sty m:val="p"/>
          </m:rPr>
          <m:t>*</m:t>
        </m:r>
      </m:oMath>
      <w:r>
        <w:rPr>
          <w:b/>
          <w:bCs/>
        </w:rPr>
        <w:t xml:space="preserve">-25,908</w:t>
      </w:r>
      <w:r>
        <w:t xml:space="preserve">), net Sharpe</w:t>
      </w:r>
      <w:r>
        <w:t xml:space="preserve"> </w:t>
      </w:r>
      <w:r>
        <w:rPr>
          <w:b/>
          <w:bCs/>
        </w:rPr>
        <w:t xml:space="preserve">-3.75</w:t>
      </w:r>
      <w:r>
        <w:t xml:space="preserve">, net Calmar</w:t>
      </w:r>
      <w:r>
        <w:t xml:space="preserve"> </w:t>
      </w:r>
      <w:r>
        <w:rPr>
          <w:b/>
          <w:bCs/>
        </w:rPr>
        <w:t xml:space="preserve">-3.46</w:t>
      </w:r>
      <w:r>
        <w:t xml:space="preserve">.</w:t>
      </w:r>
      <w:r>
        <w:br/>
      </w:r>
      <w:r>
        <w:t xml:space="preserve">- Turnover: avg daily transactions</w:t>
      </w:r>
      <w:r>
        <w:t xml:space="preserve"> </w:t>
      </w:r>
      <w:r>
        <w:rPr>
          <w:b/>
          <w:bCs/>
        </w:rPr>
        <w:t xml:space="preserve">4.64</w:t>
      </w:r>
      <w:r>
        <w:t xml:space="preserve">; gross→net cost drag</w:t>
      </w:r>
      <w:r>
        <w:t xml:space="preserve"> </w:t>
      </w:r>
      <w:r>
        <w:rPr>
          <w:b/>
          <w:bCs/>
        </w:rPr>
        <w:t xml:space="preserve">$3,672</w:t>
      </w:r>
      <w:r>
        <w:t xml:space="preserve">.</w:t>
      </w:r>
      <w:r>
        <w:br/>
      </w:r>
      <w:r>
        <w:rPr>
          <w:b/>
          <w:bCs/>
        </w:rPr>
        <w:t xml:space="preserve">Why (likely causes):</w:t>
      </w:r>
      <w:r>
        <w:t xml:space="preserve"> </w:t>
      </w:r>
      <w:r>
        <w:t xml:space="preserve">Main driver appears to be</w:t>
      </w:r>
      <w:r>
        <w:t xml:space="preserve"> </w:t>
      </w:r>
      <w:r>
        <w:rPr>
          <w:b/>
          <w:bCs/>
        </w:rPr>
        <w:t xml:space="preserve">NQ (MOM)</w:t>
      </w:r>
      <w:r>
        <w:t xml:space="preserve"> </w:t>
      </w:r>
      <w:r>
        <w:t xml:space="preserve">→ regime looks</w:t>
      </w:r>
      <w:r>
        <w:t xml:space="preserve"> </w:t>
      </w:r>
      <w:r>
        <w:rPr>
          <w:b/>
          <w:bCs/>
        </w:rPr>
        <w:t xml:space="preserve">trend / breakout-friendly</w:t>
      </w:r>
      <w:r>
        <w:t xml:space="preserve">. NQ’s momentum breakout leg dominates when intraday moves extend beyond bands and persist (fewer failed breakouts).</w:t>
      </w:r>
      <w:r>
        <w:br/>
      </w:r>
      <w:r>
        <w:rPr>
          <w:b/>
          <w:bCs/>
        </w:rPr>
        <w:t xml:space="preserve">Cost mechanism:</w:t>
      </w:r>
      <w:r>
        <w:t xml:space="preserve"> </w:t>
      </w:r>
      <w:r>
        <w:t xml:space="preserve">When the regime is less aligned, the strategy experiences more whipsaws/position flips, so transaction costs accumulate and net performance deteriorates versus gross.</w:t>
      </w:r>
    </w:p>
    <w:bookmarkStart w:id="72" w:name="q4-oos-portfolio-nqsp"/>
    <w:p>
      <w:pPr>
        <w:pStyle w:val="Heading3"/>
      </w:pPr>
      <w:r>
        <w:t xml:space="preserve">2025Q4 (OOS) — Portfolio NQ+SP</w:t>
      </w:r>
    </w:p>
    <w:bookmarkEnd w:id="72"/>
    <w:p>
      <w:pPr>
        <w:pStyle w:val="FirstParagraph"/>
      </w:pPr>
      <w:r>
        <w:drawing>
          <wp:inline>
            <wp:extent cx="5334000" cy="2727417"/>
            <wp:effectExtent b="0" l="0" r="0" t="0"/>
            <wp:docPr descr="" title="" id="74" name="Picture"/>
            <a:graphic>
              <a:graphicData uri="http://schemas.openxmlformats.org/drawingml/2006/picture">
                <pic:pic>
                  <pic:nvPicPr>
                    <pic:cNvPr descr="final_report_word_files/figure-docx/cell-4-output-35.png" id="75" name="Picture"/>
                    <pic:cNvPicPr>
                      <a:picLocks noChangeArrowheads="1" noChangeAspect="1"/>
                    </pic:cNvPicPr>
                  </pic:nvPicPr>
                  <pic:blipFill>
                    <a:blip r:embed="rId73"/>
                    <a:stretch>
                      <a:fillRect/>
                    </a:stretch>
                  </pic:blipFill>
                  <pic:spPr bwMode="auto">
                    <a:xfrm>
                      <a:off x="0" y="0"/>
                      <a:ext cx="5334000" cy="2727417"/>
                    </a:xfrm>
                    <a:prstGeom prst="rect">
                      <a:avLst/>
                    </a:prstGeom>
                    <a:noFill/>
                    <a:ln w="9525">
                      <a:noFill/>
                      <a:headEnd/>
                      <a:tailEnd/>
                    </a:ln>
                  </pic:spPr>
                </pic:pic>
              </a:graphicData>
            </a:graphic>
          </wp:inline>
        </w:drawing>
      </w:r>
    </w:p>
    <w:p>
      <w:pPr>
        <w:pStyle w:val="BodyText"/>
      </w:pPr>
      <w:r>
        <w:rPr>
          <w:b/>
          <w:bCs/>
        </w:rPr>
        <w:t xml:space="preserve">What we observe:</w:t>
      </w:r>
      <w:r>
        <w:t xml:space="preserve"> </w:t>
      </w:r>
      <w:r>
        <w:t xml:space="preserve">Positive performance, but with a lower-edge profile and higher sensitivity to costs.</w:t>
      </w:r>
      <w:r>
        <w:br/>
      </w:r>
      <w:r>
        <w:t xml:space="preserve">- Net PnL:</w:t>
      </w:r>
      <w:r>
        <w:t xml:space="preserve"> </w:t>
      </w:r>
      <w:r>
        <w:rPr>
          <w:b/>
          <w:bCs/>
        </w:rPr>
        <w:t xml:space="preserve">$4,498</w:t>
      </w:r>
      <w:r>
        <w:t xml:space="preserve"> </w:t>
      </w:r>
      <w:r>
        <w:t xml:space="preserve">(gross</w:t>
      </w:r>
      <w:r>
        <w:t xml:space="preserve"> </w:t>
      </w:r>
      <w:r>
        <w:rPr>
          <w:b/>
          <w:bCs/>
        </w:rPr>
        <w:t xml:space="preserve">$5,986</w:t>
      </w:r>
      <w:r>
        <w:t xml:space="preserve">), net Sharpe</w:t>
      </w:r>
      <w:r>
        <w:t xml:space="preserve"> </w:t>
      </w:r>
      <w:r>
        <w:rPr>
          <w:b/>
          <w:bCs/>
        </w:rPr>
        <w:t xml:space="preserve">1.54</w:t>
      </w:r>
      <w:r>
        <w:t xml:space="preserve">, net Calmar</w:t>
      </w:r>
      <w:r>
        <w:t xml:space="preserve"> </w:t>
      </w:r>
      <w:r>
        <w:rPr>
          <w:b/>
          <w:bCs/>
        </w:rPr>
        <w:t xml:space="preserve">6.20</w:t>
      </w:r>
      <w:r>
        <w:t xml:space="preserve">.</w:t>
      </w:r>
      <w:r>
        <w:br/>
      </w:r>
      <w:r>
        <w:t xml:space="preserve">- Turnover: avg daily transactions</w:t>
      </w:r>
      <w:r>
        <w:t xml:space="preserve"> </w:t>
      </w:r>
      <w:r>
        <w:rPr>
          <w:b/>
          <w:bCs/>
        </w:rPr>
        <w:t xml:space="preserve">5.39</w:t>
      </w:r>
      <w:r>
        <w:t xml:space="preserve">; gross→net cost drag</w:t>
      </w:r>
      <w:r>
        <w:t xml:space="preserve"> </w:t>
      </w:r>
      <w:r>
        <w:rPr>
          <w:b/>
          <w:bCs/>
        </w:rPr>
        <w:t xml:space="preserve">$1,488</w:t>
      </w:r>
      <w:r>
        <w:t xml:space="preserve">.</w:t>
      </w:r>
      <w:r>
        <w:br/>
      </w:r>
      <w:r>
        <w:rPr>
          <w:b/>
          <w:bCs/>
        </w:rPr>
        <w:t xml:space="preserve">Why (likely causes):</w:t>
      </w:r>
      <w:r>
        <w:t xml:space="preserve"> </w:t>
      </w:r>
      <w:r>
        <w:t xml:space="preserve">Main driver appears to be</w:t>
      </w:r>
      <w:r>
        <w:t xml:space="preserve"> </w:t>
      </w:r>
      <w:r>
        <w:rPr>
          <w:b/>
          <w:bCs/>
        </w:rPr>
        <w:t xml:space="preserve">SP (MR)</w:t>
      </w:r>
      <w:r>
        <w:t xml:space="preserve"> </w:t>
      </w:r>
      <w:r>
        <w:t xml:space="preserve">→ regime looks</w:t>
      </w:r>
      <w:r>
        <w:t xml:space="preserve"> </w:t>
      </w:r>
      <w:r>
        <w:rPr>
          <w:b/>
          <w:bCs/>
        </w:rPr>
        <w:t xml:space="preserve">choppy / mean-reverting</w:t>
      </w:r>
      <w:r>
        <w:t xml:space="preserve">. SP’s mean‑reversion leg dominates when prices oscillate around the slow EMA and breakouts frequently revert.</w:t>
      </w:r>
      <w:r>
        <w:br/>
      </w:r>
      <w:r>
        <w:rPr>
          <w:b/>
          <w:bCs/>
        </w:rPr>
        <w:t xml:space="preserve">Cost mechanism:</w:t>
      </w:r>
      <w:r>
        <w:t xml:space="preserve"> </w:t>
      </w:r>
      <w:r>
        <w:t xml:space="preserve">When the regime is less aligned, the strategy experiences more whipsaws/position flips, so transaction costs accumulate and net performance deteriorates versus gross.</w:t>
      </w:r>
    </w:p>
    <w:bookmarkEnd w:id="76"/>
    <w:bookmarkEnd w:id="77"/>
    <w:bookmarkStart w:id="138" w:name="group-2"/>
    <w:p>
      <w:pPr>
        <w:pStyle w:val="Heading1"/>
      </w:pPr>
      <w:r>
        <w:t xml:space="preserve">Group 2</w:t>
      </w:r>
    </w:p>
    <w:bookmarkStart w:id="78" w:name="approaches-undertaken-1"/>
    <w:p>
      <w:pPr>
        <w:pStyle w:val="Heading2"/>
      </w:pPr>
      <w:r>
        <w:t xml:space="preserve">Approaches undertaken</w:t>
      </w:r>
    </w:p>
    <w:p>
      <w:pPr>
        <w:pStyle w:val="FirstParagraph"/>
      </w:pPr>
      <w:r>
        <w:t xml:space="preserve">For Group 2</w:t>
      </w:r>
      <w:r>
        <w:t xml:space="preserve"> </w:t>
      </w:r>
      <w:r>
        <w:rPr>
          <w:b/>
          <w:bCs/>
        </w:rPr>
        <w:t xml:space="preserve">(Gold - XAU, Silver - XAG)</w:t>
      </w:r>
      <w:r>
        <w:t xml:space="preserve">, we faced different challenges compared to Group 1: specific trading hours (Sunday-Friday), a daily break (17:00-18:00 CET), and significantly higher fixed transaction costs ($10/$15) relative to tick value. We tested two primary logic families on 5-minute data.</w:t>
      </w:r>
    </w:p>
    <w:bookmarkEnd w:id="78"/>
    <w:bookmarkStart w:id="79" w:name="strategies-considered"/>
    <w:p>
      <w:pPr>
        <w:pStyle w:val="Heading2"/>
      </w:pPr>
      <w:r>
        <w:t xml:space="preserve">Strategies considered</w:t>
      </w:r>
    </w:p>
    <w:p>
      <w:pPr>
        <w:pStyle w:val="FirstParagraph"/>
      </w:pPr>
      <w:r>
        <w:rPr>
          <w:b/>
          <w:bCs/>
        </w:rPr>
        <w:t xml:space="preserve">Strategy 1 - Volatility Breakout</w:t>
      </w:r>
    </w:p>
    <w:p>
      <w:pPr>
        <w:pStyle w:val="Compact"/>
        <w:numPr>
          <w:ilvl w:val="0"/>
          <w:numId w:val="1015"/>
        </w:numPr>
      </w:pPr>
      <w:r>
        <w:rPr>
          <w:b/>
          <w:bCs/>
        </w:rPr>
        <w:t xml:space="preserve">Signal:</w:t>
      </w:r>
      <w:r>
        <w:t xml:space="preserve"> </w:t>
      </w:r>
      <w:r>
        <w:t xml:space="preserve">We adapted the Donchian Channel logic for close-only data.</w:t>
      </w:r>
    </w:p>
    <w:p>
      <w:pPr>
        <w:pStyle w:val="Compact"/>
        <w:numPr>
          <w:ilvl w:val="0"/>
          <w:numId w:val="1015"/>
        </w:numPr>
      </w:pPr>
      <w:r>
        <w:rPr>
          <w:b/>
          <w:bCs/>
        </w:rPr>
        <w:t xml:space="preserve">Entry:</w:t>
      </w:r>
    </w:p>
    <w:p>
      <w:pPr>
        <w:pStyle w:val="Compact"/>
        <w:numPr>
          <w:ilvl w:val="1"/>
          <w:numId w:val="1016"/>
        </w:numPr>
      </w:pPr>
      <w:r>
        <w:t xml:space="preserve">Enter Long if</w:t>
      </w:r>
      <w:r>
        <w:t xml:space="preserve"> </w:t>
      </w:r>
      <m:oMath>
        <m:r>
          <m:t>C</m:t>
        </m:r>
        <m:r>
          <m:t>l</m:t>
        </m:r>
        <m:r>
          <m:t>o</m:t>
        </m:r>
        <m:r>
          <m:t>s</m:t>
        </m:r>
        <m:sSub>
          <m:e>
            <m:r>
              <m:t>e</m:t>
            </m:r>
          </m:e>
          <m:sub>
            <m:r>
              <m:t>t</m:t>
            </m:r>
          </m:sub>
        </m:sSub>
        <m:r>
          <m:rPr>
            <m:sty m:val="p"/>
          </m:rPr>
          <m:t>&gt;</m:t>
        </m:r>
        <m:r>
          <m:t>M</m:t>
        </m:r>
        <m:r>
          <m:t>a</m:t>
        </m:r>
        <m:r>
          <m:t>x</m:t>
        </m:r>
        <m:d>
          <m:dPr>
            <m:begChr m:val="("/>
            <m:sepChr m:val=""/>
            <m:endChr m:val=")"/>
            <m:grow/>
          </m:dPr>
          <m:e>
            <m:r>
              <m:t>C</m:t>
            </m:r>
            <m:r>
              <m:t>l</m:t>
            </m:r>
            <m:r>
              <m:t>o</m:t>
            </m:r>
            <m:r>
              <m:t>s</m:t>
            </m:r>
            <m:sSub>
              <m:e>
                <m:r>
                  <m:t>e</m:t>
                </m:r>
              </m:e>
              <m:sub>
                <m:r>
                  <m:t>t</m:t>
                </m:r>
                <m:r>
                  <m:rPr>
                    <m:sty m:val="p"/>
                  </m:rPr>
                  <m:t>−</m:t>
                </m:r>
                <m:r>
                  <m:t>1</m:t>
                </m:r>
              </m:sub>
            </m:sSub>
            <m:r>
              <m:rPr>
                <m:sty m:val="p"/>
              </m:rPr>
              <m:t>.</m:t>
            </m:r>
            <m:r>
              <m:rPr>
                <m:sty m:val="p"/>
              </m:rPr>
              <m:t>.</m:t>
            </m:r>
            <m:r>
              <m:rPr>
                <m:sty m:val="p"/>
              </m:rPr>
              <m:t>.</m:t>
            </m:r>
            <m:r>
              <m:t>C</m:t>
            </m:r>
            <m:r>
              <m:t>l</m:t>
            </m:r>
            <m:r>
              <m:t>o</m:t>
            </m:r>
            <m:r>
              <m:t>s</m:t>
            </m:r>
            <m:sSub>
              <m:e>
                <m:r>
                  <m:t>e</m:t>
                </m:r>
              </m:e>
              <m:sub>
                <m:r>
                  <m:t>t</m:t>
                </m:r>
                <m:r>
                  <m:rPr>
                    <m:sty m:val="p"/>
                  </m:rPr>
                  <m:t>−</m:t>
                </m:r>
                <m:r>
                  <m:t>n</m:t>
                </m:r>
              </m:sub>
            </m:sSub>
          </m:e>
        </m:d>
      </m:oMath>
      <w:r>
        <w:t xml:space="preserve">.</w:t>
      </w:r>
    </w:p>
    <w:p>
      <w:pPr>
        <w:pStyle w:val="Compact"/>
        <w:numPr>
          <w:ilvl w:val="1"/>
          <w:numId w:val="1016"/>
        </w:numPr>
      </w:pPr>
      <w:r>
        <w:t xml:space="preserve">Enter Short if</w:t>
      </w:r>
      <w:r>
        <w:t xml:space="preserve"> </w:t>
      </w:r>
      <m:oMath>
        <m:r>
          <m:t>C</m:t>
        </m:r>
        <m:r>
          <m:t>l</m:t>
        </m:r>
        <m:r>
          <m:t>o</m:t>
        </m:r>
        <m:r>
          <m:t>s</m:t>
        </m:r>
        <m:sSub>
          <m:e>
            <m:r>
              <m:t>e</m:t>
            </m:r>
          </m:e>
          <m:sub>
            <m:r>
              <m:t>t</m:t>
            </m:r>
          </m:sub>
        </m:sSub>
        <m:r>
          <m:rPr>
            <m:sty m:val="p"/>
          </m:rPr>
          <m:t>&lt;</m:t>
        </m:r>
        <m:r>
          <m:t>M</m:t>
        </m:r>
        <m:r>
          <m:t>i</m:t>
        </m:r>
        <m:r>
          <m:t>n</m:t>
        </m:r>
        <m:d>
          <m:dPr>
            <m:begChr m:val="("/>
            <m:sepChr m:val=""/>
            <m:endChr m:val=")"/>
            <m:grow/>
          </m:dPr>
          <m:e>
            <m:r>
              <m:t>C</m:t>
            </m:r>
            <m:r>
              <m:t>l</m:t>
            </m:r>
            <m:r>
              <m:t>o</m:t>
            </m:r>
            <m:r>
              <m:t>s</m:t>
            </m:r>
            <m:sSub>
              <m:e>
                <m:r>
                  <m:t>e</m:t>
                </m:r>
              </m:e>
              <m:sub>
                <m:r>
                  <m:t>t</m:t>
                </m:r>
                <m:r>
                  <m:rPr>
                    <m:sty m:val="p"/>
                  </m:rPr>
                  <m:t>−</m:t>
                </m:r>
                <m:r>
                  <m:t>1</m:t>
                </m:r>
              </m:sub>
            </m:sSub>
            <m:r>
              <m:rPr>
                <m:sty m:val="p"/>
              </m:rPr>
              <m:t>.</m:t>
            </m:r>
            <m:r>
              <m:rPr>
                <m:sty m:val="p"/>
              </m:rPr>
              <m:t>.</m:t>
            </m:r>
            <m:r>
              <m:rPr>
                <m:sty m:val="p"/>
              </m:rPr>
              <m:t>.</m:t>
            </m:r>
            <m:r>
              <m:t>C</m:t>
            </m:r>
            <m:r>
              <m:t>l</m:t>
            </m:r>
            <m:r>
              <m:t>o</m:t>
            </m:r>
            <m:r>
              <m:t>s</m:t>
            </m:r>
            <m:sSub>
              <m:e>
                <m:r>
                  <m:t>e</m:t>
                </m:r>
              </m:e>
              <m:sub>
                <m:r>
                  <m:t>t</m:t>
                </m:r>
                <m:r>
                  <m:rPr>
                    <m:sty m:val="p"/>
                  </m:rPr>
                  <m:t>−</m:t>
                </m:r>
                <m:r>
                  <m:t>n</m:t>
                </m:r>
              </m:sub>
            </m:sSub>
          </m:e>
        </m:d>
      </m:oMath>
      <w:r>
        <w:t xml:space="preserve">.</w:t>
      </w:r>
    </w:p>
    <w:p>
      <w:pPr>
        <w:pStyle w:val="Compact"/>
        <w:numPr>
          <w:ilvl w:val="0"/>
          <w:numId w:val="1015"/>
        </w:numPr>
      </w:pPr>
      <w:r>
        <w:rPr>
          <w:b/>
          <w:bCs/>
        </w:rPr>
        <w:t xml:space="preserve">Volatility Filter:</w:t>
      </w:r>
      <w:r>
        <w:t xml:space="preserve"> </w:t>
      </w:r>
      <w:r>
        <w:t xml:space="preserve">Trades are only taken if the rolling standard deviation of price changes exceeds a threshold (</w:t>
      </w:r>
      <w:r>
        <w:rPr>
          <w:rStyle w:val="VerbatimChar"/>
        </w:rPr>
        <w:t xml:space="preserve">vol_threshold</w:t>
      </w:r>
      <w:r>
        <w:t xml:space="preserve">). This prevents trading during</w:t>
      </w:r>
      <w:r>
        <w:t xml:space="preserve"> </w:t>
      </w:r>
      <w:r>
        <w:t xml:space="preserve">“dead”</w:t>
      </w:r>
      <w:r>
        <w:t xml:space="preserve"> </w:t>
      </w:r>
      <w:r>
        <w:t xml:space="preserve">markets where the fixed transaction cost would exceed potential profit.</w:t>
      </w:r>
    </w:p>
    <w:p>
      <w:pPr>
        <w:pStyle w:val="Compact"/>
        <w:numPr>
          <w:ilvl w:val="0"/>
          <w:numId w:val="1015"/>
        </w:numPr>
      </w:pPr>
      <w:r>
        <w:rPr>
          <w:b/>
          <w:bCs/>
        </w:rPr>
        <w:t xml:space="preserve">Regime Filter (Session):</w:t>
      </w:r>
      <w:r>
        <w:t xml:space="preserve"> </w:t>
      </w:r>
      <w:r>
        <w:t xml:space="preserve">We tested applying the strategy</w:t>
      </w:r>
      <w:r>
        <w:t xml:space="preserve"> </w:t>
      </w:r>
      <w:r>
        <w:rPr>
          <w:b/>
          <w:bCs/>
        </w:rPr>
        <w:t xml:space="preserve">24 hours</w:t>
      </w:r>
      <w:r>
        <w:t xml:space="preserve"> </w:t>
      </w:r>
      <w:r>
        <w:t xml:space="preserve">vs. </w:t>
      </w:r>
      <w:r>
        <w:rPr>
          <w:b/>
          <w:bCs/>
        </w:rPr>
        <w:t xml:space="preserve">US Session Only</w:t>
      </w:r>
      <w:r>
        <w:t xml:space="preserve"> </w:t>
      </w:r>
      <w:r>
        <w:t xml:space="preserve">(13:00–16:30 CET).</w:t>
      </w:r>
    </w:p>
    <w:p>
      <w:pPr>
        <w:pStyle w:val="FirstParagraph"/>
      </w:pPr>
      <w:r>
        <w:rPr>
          <w:b/>
          <w:bCs/>
        </w:rPr>
        <w:t xml:space="preserve">Strategy 2 - EMA Crossover + RSI</w:t>
      </w:r>
    </w:p>
    <w:p>
      <w:pPr>
        <w:pStyle w:val="Compact"/>
        <w:numPr>
          <w:ilvl w:val="0"/>
          <w:numId w:val="1017"/>
        </w:numPr>
      </w:pPr>
      <w:r>
        <w:rPr>
          <w:b/>
          <w:bCs/>
        </w:rPr>
        <w:t xml:space="preserve">Signal:</w:t>
      </w:r>
      <w:r>
        <w:t xml:space="preserve"> </w:t>
      </w:r>
      <w:r>
        <w:t xml:space="preserve">Standard Fast/Slow EMA crossover.</w:t>
      </w:r>
    </w:p>
    <w:p>
      <w:pPr>
        <w:pStyle w:val="Compact"/>
        <w:numPr>
          <w:ilvl w:val="0"/>
          <w:numId w:val="1017"/>
        </w:numPr>
      </w:pPr>
      <w:r>
        <w:rPr>
          <w:b/>
          <w:bCs/>
        </w:rPr>
        <w:t xml:space="preserve">Filter:</w:t>
      </w:r>
      <w:r>
        <w:t xml:space="preserve"> </w:t>
      </w:r>
      <w:r>
        <w:t xml:space="preserve">RSI (Relative Strength Index) was added to filter out overextended moves.</w:t>
      </w:r>
    </w:p>
    <w:p>
      <w:pPr>
        <w:pStyle w:val="Compact"/>
        <w:numPr>
          <w:ilvl w:val="1"/>
          <w:numId w:val="1018"/>
        </w:numPr>
      </w:pPr>
      <w:r>
        <w:rPr>
          <w:i/>
          <w:iCs/>
        </w:rPr>
        <w:t xml:space="preserve">Long Rule:</w:t>
      </w:r>
      <w:r>
        <w:t xml:space="preserve"> </w:t>
      </w:r>
      <w:r>
        <w:t xml:space="preserve">Fast &gt; Slow AND RSI &lt; 70 (Not Overbought).</w:t>
      </w:r>
    </w:p>
    <w:p>
      <w:pPr>
        <w:pStyle w:val="Compact"/>
        <w:numPr>
          <w:ilvl w:val="1"/>
          <w:numId w:val="1018"/>
        </w:numPr>
      </w:pPr>
      <w:r>
        <w:rPr>
          <w:i/>
          <w:iCs/>
        </w:rPr>
        <w:t xml:space="preserve">Short Rule:</w:t>
      </w:r>
      <w:r>
        <w:t xml:space="preserve"> </w:t>
      </w:r>
      <w:r>
        <w:t xml:space="preserve">Fast &lt; Slow AND RSI &gt; 30 (Not Oversold).</w:t>
      </w:r>
    </w:p>
    <w:p>
      <w:pPr>
        <w:pStyle w:val="Compact"/>
        <w:numPr>
          <w:ilvl w:val="0"/>
          <w:numId w:val="1017"/>
        </w:numPr>
      </w:pPr>
      <w:r>
        <w:rPr>
          <w:b/>
          <w:bCs/>
        </w:rPr>
        <w:t xml:space="preserve">Hypothesis:</w:t>
      </w:r>
      <w:r>
        <w:t xml:space="preserve"> </w:t>
      </w:r>
      <w:r>
        <w:t xml:space="preserve">We tested if smoothing the noisy 5-minute data with EMAs would reduce the</w:t>
      </w:r>
      <w:r>
        <w:t xml:space="preserve"> </w:t>
      </w:r>
      <w:r>
        <w:t xml:space="preserve">“whipsaw”</w:t>
      </w:r>
      <w:r>
        <w:t xml:space="preserve"> </w:t>
      </w:r>
      <w:r>
        <w:t xml:space="preserve">effect seen in precious metals.</w:t>
      </w:r>
    </w:p>
    <w:bookmarkEnd w:id="79"/>
    <w:bookmarkStart w:id="80" w:name="assumptions-execution-rules"/>
    <w:p>
      <w:pPr>
        <w:pStyle w:val="Heading2"/>
      </w:pPr>
      <w:r>
        <w:t xml:space="preserve">Assumptions / execution rules</w:t>
      </w:r>
    </w:p>
    <w:p>
      <w:pPr>
        <w:pStyle w:val="Compact"/>
        <w:numPr>
          <w:ilvl w:val="0"/>
          <w:numId w:val="1019"/>
        </w:numPr>
      </w:pPr>
      <w:r>
        <w:rPr>
          <w:b/>
          <w:bCs/>
        </w:rPr>
        <w:t xml:space="preserve">Timezone Management:</w:t>
      </w:r>
      <w:r>
        <w:t xml:space="preserve"> </w:t>
      </w:r>
      <w:r>
        <w:t xml:space="preserve">All data was converted from UTC to CET to strictly adhere to the project’s time-specific rules.</w:t>
      </w:r>
    </w:p>
    <w:p>
      <w:pPr>
        <w:pStyle w:val="Compact"/>
        <w:numPr>
          <w:ilvl w:val="0"/>
          <w:numId w:val="1019"/>
        </w:numPr>
      </w:pPr>
      <w:r>
        <w:rPr>
          <w:b/>
          <w:bCs/>
        </w:rPr>
        <w:t xml:space="preserve">Forced Exits:</w:t>
      </w:r>
      <w:r>
        <w:t xml:space="preserve"> </w:t>
      </w:r>
      <w:r>
        <w:t xml:space="preserve">All positions are flattened daily at 16:50 CET. No trading occurs during the break (17:00–18:00) or the first 10 minutes after re-open (18:00–18:10).</w:t>
      </w:r>
    </w:p>
    <w:p>
      <w:pPr>
        <w:pStyle w:val="Compact"/>
        <w:numPr>
          <w:ilvl w:val="0"/>
          <w:numId w:val="1019"/>
        </w:numPr>
      </w:pPr>
      <w:r>
        <w:rPr>
          <w:b/>
          <w:bCs/>
        </w:rPr>
        <w:t xml:space="preserve">Transaction Costs:</w:t>
      </w:r>
      <w:r>
        <w:t xml:space="preserve"> </w:t>
      </w:r>
      <w:r>
        <w:t xml:space="preserve">We applied $15 per trade for Gold and $10 per trade for Silver.</w:t>
      </w:r>
    </w:p>
    <w:bookmarkEnd w:id="80"/>
    <w:bookmarkStart w:id="81" w:name="parameter-search-selection"/>
    <w:p>
      <w:pPr>
        <w:pStyle w:val="Heading2"/>
      </w:pPr>
      <w:r>
        <w:t xml:space="preserve">Parameter search &amp; selection</w:t>
      </w:r>
    </w:p>
    <w:p>
      <w:pPr>
        <w:pStyle w:val="Compact"/>
        <w:numPr>
          <w:ilvl w:val="0"/>
          <w:numId w:val="1020"/>
        </w:numPr>
      </w:pPr>
      <w:r>
        <w:rPr>
          <w:b/>
          <w:bCs/>
        </w:rPr>
        <w:t xml:space="preserve">Global Optimization:</w:t>
      </w:r>
      <w:r>
        <w:t xml:space="preserve"> </w:t>
      </w:r>
      <w:r>
        <w:t xml:space="preserve">Unlike Group 1, we performed a cross-product grid search. We tested every combination of Gold parameters against every combination of Silver parameters to find the best portfolio score, rather than optimizing assets in isolation.</w:t>
      </w:r>
    </w:p>
    <w:p>
      <w:pPr>
        <w:pStyle w:val="Compact"/>
        <w:numPr>
          <w:ilvl w:val="0"/>
          <w:numId w:val="1020"/>
        </w:numPr>
      </w:pPr>
      <w:r>
        <w:rPr>
          <w:b/>
          <w:bCs/>
        </w:rPr>
        <w:t xml:space="preserve">Grid Space:</w:t>
      </w:r>
    </w:p>
    <w:p>
      <w:pPr>
        <w:pStyle w:val="Compact"/>
        <w:numPr>
          <w:ilvl w:val="1"/>
          <w:numId w:val="1021"/>
        </w:numPr>
      </w:pPr>
      <w:r>
        <w:rPr>
          <w:rStyle w:val="VerbatimChar"/>
        </w:rPr>
        <w:t xml:space="preserve">Window</w:t>
      </w:r>
      <w:r>
        <w:t xml:space="preserve"> </w:t>
      </w:r>
      <w:r>
        <w:t xml:space="preserve">(Lookback): [24, 48, …, 288 (24 hours)]</w:t>
      </w:r>
    </w:p>
    <w:p>
      <w:pPr>
        <w:pStyle w:val="Compact"/>
        <w:numPr>
          <w:ilvl w:val="1"/>
          <w:numId w:val="1021"/>
        </w:numPr>
      </w:pPr>
      <w:r>
        <w:rPr>
          <w:rStyle w:val="VerbatimChar"/>
        </w:rPr>
        <w:t xml:space="preserve">Vol_Threshold</w:t>
      </w:r>
      <w:r>
        <w:t xml:space="preserve">: [0.03, 0.05, …, 1.5]</w:t>
      </w:r>
    </w:p>
    <w:p>
      <w:pPr>
        <w:pStyle w:val="Compact"/>
        <w:numPr>
          <w:ilvl w:val="1"/>
          <w:numId w:val="1021"/>
        </w:numPr>
      </w:pPr>
      <w:r>
        <w:rPr>
          <w:rStyle w:val="VerbatimChar"/>
        </w:rPr>
        <w:t xml:space="preserve">Session</w:t>
      </w:r>
      <w:r>
        <w:t xml:space="preserve">: [</w:t>
      </w:r>
      <w:r>
        <w:t xml:space="preserve">‘Full’</w:t>
      </w:r>
      <w:r>
        <w:t xml:space="preserve">,</w:t>
      </w:r>
      <w:r>
        <w:t xml:space="preserve"> </w:t>
      </w:r>
      <w:r>
        <w:t xml:space="preserve">‘US_Only’</w:t>
      </w:r>
      <w:r>
        <w:t xml:space="preserve">]</w:t>
      </w:r>
    </w:p>
    <w:p>
      <w:pPr>
        <w:pStyle w:val="Compact"/>
        <w:numPr>
          <w:ilvl w:val="0"/>
          <w:numId w:val="1020"/>
        </w:numPr>
      </w:pPr>
      <w:r>
        <w:rPr>
          <w:b/>
          <w:bCs/>
        </w:rPr>
        <w:t xml:space="preserve">Selection Criterion:</w:t>
      </w:r>
      <w:r>
        <w:t xml:space="preserve"> </w:t>
      </w:r>
      <w:r>
        <w:t xml:space="preserve">Maximizing the sum of the project statistic across all in-sample quarters.</w:t>
      </w:r>
    </w:p>
    <w:bookmarkEnd w:id="81"/>
    <w:bookmarkStart w:id="82" w:name="finally-selected-strategy"/>
    <w:p>
      <w:pPr>
        <w:pStyle w:val="Heading2"/>
      </w:pPr>
      <w:r>
        <w:t xml:space="preserve">Finally selected strategy</w:t>
      </w:r>
    </w:p>
    <w:p>
      <w:pPr>
        <w:pStyle w:val="FirstParagraph"/>
      </w:pPr>
      <w:r>
        <w:rPr>
          <w:b/>
          <w:bCs/>
        </w:rPr>
        <w:t xml:space="preserve">Hybrid Volatility Breakout</w:t>
      </w:r>
    </w:p>
    <w:p>
      <w:pPr>
        <w:pStyle w:val="BodyText"/>
      </w:pPr>
      <w:r>
        <w:t xml:space="preserve">Based on the in-sample optimization, the Breakout logic significantly outperformed the EMA approach (which suffered from lag and high turnover costs). The final selected portfolio is</w:t>
      </w:r>
      <w:r>
        <w:t xml:space="preserve"> </w:t>
      </w:r>
      <w:r>
        <w:t xml:space="preserve">“Hybrid”</w:t>
      </w:r>
      <w:r>
        <w:t xml:space="preserve"> </w:t>
      </w:r>
      <w:r>
        <w:t xml:space="preserve">because it applies different time-regimes to each metal:</w:t>
      </w:r>
    </w:p>
    <w:p>
      <w:pPr>
        <w:pStyle w:val="Compact"/>
        <w:numPr>
          <w:ilvl w:val="0"/>
          <w:numId w:val="1022"/>
        </w:numPr>
      </w:pPr>
      <w:r>
        <w:rPr>
          <w:b/>
          <w:bCs/>
        </w:rPr>
        <w:t xml:space="preserve">Gold (XAU):</w:t>
      </w:r>
    </w:p>
    <w:p>
      <w:pPr>
        <w:pStyle w:val="Compact"/>
        <w:numPr>
          <w:ilvl w:val="1"/>
          <w:numId w:val="1023"/>
        </w:numPr>
      </w:pPr>
      <w:r>
        <w:rPr>
          <w:b/>
          <w:bCs/>
        </w:rPr>
        <w:t xml:space="preserve">Parameters:</w:t>
      </w:r>
      <w:r>
        <w:t xml:space="preserve"> </w:t>
      </w:r>
      <w:r>
        <w:rPr>
          <w:rStyle w:val="VerbatimChar"/>
        </w:rPr>
        <w:t xml:space="preserve">Window=288</w:t>
      </w:r>
      <w:r>
        <w:t xml:space="preserve"> </w:t>
      </w:r>
      <w:r>
        <w:t xml:space="preserve">(24 hours),</w:t>
      </w:r>
      <w:r>
        <w:t xml:space="preserve"> </w:t>
      </w:r>
      <w:r>
        <w:rPr>
          <w:rStyle w:val="VerbatimChar"/>
        </w:rPr>
        <w:t xml:space="preserve">Vol_Threshold=0.5</w:t>
      </w:r>
      <w:r>
        <w:t xml:space="preserve">,</w:t>
      </w:r>
      <w:r>
        <w:t xml:space="preserve"> </w:t>
      </w:r>
      <w:r>
        <w:rPr>
          <w:rStyle w:val="VerbatimChar"/>
        </w:rPr>
        <w:t xml:space="preserve">Session=Full</w:t>
      </w:r>
      <w:r>
        <w:t xml:space="preserve">.</w:t>
      </w:r>
    </w:p>
    <w:p>
      <w:pPr>
        <w:pStyle w:val="Compact"/>
        <w:numPr>
          <w:ilvl w:val="1"/>
          <w:numId w:val="1023"/>
        </w:numPr>
      </w:pPr>
      <w:r>
        <w:rPr>
          <w:i/>
          <w:iCs/>
        </w:rPr>
        <w:t xml:space="preserve">Logic:</w:t>
      </w:r>
      <w:r>
        <w:t xml:space="preserve"> </w:t>
      </w:r>
      <w:r>
        <w:t xml:space="preserve">Gold has deep global liquidity. A 24-hour lookback filters intraday noise, allowing the strategy to capture major macro trends overnight.</w:t>
      </w:r>
    </w:p>
    <w:p>
      <w:pPr>
        <w:pStyle w:val="Compact"/>
        <w:numPr>
          <w:ilvl w:val="0"/>
          <w:numId w:val="1022"/>
        </w:numPr>
      </w:pPr>
      <w:r>
        <w:rPr>
          <w:b/>
          <w:bCs/>
        </w:rPr>
        <w:t xml:space="preserve">Silver (XAG):</w:t>
      </w:r>
    </w:p>
    <w:p>
      <w:pPr>
        <w:pStyle w:val="Compact"/>
        <w:numPr>
          <w:ilvl w:val="1"/>
          <w:numId w:val="1024"/>
        </w:numPr>
      </w:pPr>
      <w:r>
        <w:rPr>
          <w:b/>
          <w:bCs/>
        </w:rPr>
        <w:t xml:space="preserve">Parameters:</w:t>
      </w:r>
      <w:r>
        <w:t xml:space="preserve"> </w:t>
      </w:r>
      <w:r>
        <w:rPr>
          <w:rStyle w:val="VerbatimChar"/>
        </w:rPr>
        <w:t xml:space="preserve">Window=144</w:t>
      </w:r>
      <w:r>
        <w:t xml:space="preserve"> </w:t>
      </w:r>
      <w:r>
        <w:t xml:space="preserve">(12 hours),</w:t>
      </w:r>
      <w:r>
        <w:t xml:space="preserve"> </w:t>
      </w:r>
      <w:r>
        <w:rPr>
          <w:rStyle w:val="VerbatimChar"/>
        </w:rPr>
        <w:t xml:space="preserve">Vol_Threshold=0.05</w:t>
      </w:r>
      <w:r>
        <w:t xml:space="preserve">,</w:t>
      </w:r>
      <w:r>
        <w:t xml:space="preserve"> </w:t>
      </w:r>
      <w:r>
        <w:rPr>
          <w:rStyle w:val="VerbatimChar"/>
        </w:rPr>
        <w:t xml:space="preserve">Session=US_Only</w:t>
      </w:r>
      <w:r>
        <w:t xml:space="preserve">.</w:t>
      </w:r>
    </w:p>
    <w:p>
      <w:pPr>
        <w:pStyle w:val="Compact"/>
        <w:numPr>
          <w:ilvl w:val="1"/>
          <w:numId w:val="1024"/>
        </w:numPr>
      </w:pPr>
      <w:r>
        <w:rPr>
          <w:i/>
          <w:iCs/>
        </w:rPr>
        <w:t xml:space="preserve">Logic:</w:t>
      </w:r>
      <w:r>
        <w:t xml:space="preserve"> </w:t>
      </w:r>
      <w:r>
        <w:t xml:space="preserve">Silver is noisier. By restricting new entries to the US Session (13:00–16:30 CET), we avoid false signals during low-volume European mornings.</w:t>
      </w:r>
    </w:p>
    <w:bookmarkEnd w:id="82"/>
    <w:bookmarkStart w:id="84" w:name="summary-of-results"/>
    <w:p>
      <w:pPr>
        <w:pStyle w:val="Heading2"/>
      </w:pPr>
      <w:r>
        <w:t xml:space="preserve">Summary of results</w:t>
      </w:r>
    </w:p>
    <w:bookmarkStart w:id="83" w:name="T_e673c"/>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quarter</w:t>
            </w:r>
          </w:p>
        </w:tc>
        <w:tc>
          <w:tcPr/>
          <w:p>
            <w:pPr>
              <w:pStyle w:val="Compact"/>
            </w:pPr>
            <w:r>
              <w:t xml:space="preserve">sym</w:t>
            </w:r>
          </w:p>
        </w:tc>
        <w:tc>
          <w:tcPr/>
          <w:p>
            <w:pPr>
              <w:pStyle w:val="Compact"/>
            </w:pPr>
            <w:r>
              <w:t xml:space="preserve">gross_SR</w:t>
            </w:r>
          </w:p>
        </w:tc>
        <w:tc>
          <w:tcPr/>
          <w:p>
            <w:pPr>
              <w:pStyle w:val="Compact"/>
            </w:pPr>
            <w:r>
              <w:t xml:space="preserve">net_SR</w:t>
            </w:r>
          </w:p>
        </w:tc>
        <w:tc>
          <w:tcPr/>
          <w:p>
            <w:pPr>
              <w:pStyle w:val="Compact"/>
            </w:pPr>
            <w:r>
              <w:t xml:space="preserve">gross_PnL</w:t>
            </w:r>
          </w:p>
        </w:tc>
        <w:tc>
          <w:tcPr/>
          <w:p>
            <w:pPr>
              <w:pStyle w:val="Compact"/>
            </w:pPr>
            <w:r>
              <w:t xml:space="preserve">net_PnL</w:t>
            </w:r>
          </w:p>
        </w:tc>
        <w:tc>
          <w:tcPr/>
          <w:p>
            <w:pPr>
              <w:pStyle w:val="Compact"/>
            </w:pPr>
            <w:r>
              <w:t xml:space="preserve">gross_CR</w:t>
            </w:r>
          </w:p>
        </w:tc>
        <w:tc>
          <w:tcPr/>
          <w:p>
            <w:pPr>
              <w:pStyle w:val="Compact"/>
            </w:pPr>
            <w:r>
              <w:t xml:space="preserve">net_CR</w:t>
            </w:r>
          </w:p>
        </w:tc>
        <w:tc>
          <w:tcPr/>
          <w:p>
            <w:pPr>
              <w:pStyle w:val="Compact"/>
            </w:pPr>
            <w:r>
              <w:t xml:space="preserve">av_daily_ntrans</w:t>
            </w:r>
          </w:p>
        </w:tc>
        <w:tc>
          <w:tcPr/>
          <w:p>
            <w:pPr>
              <w:pStyle w:val="Compact"/>
            </w:pPr>
            <w:r>
              <w:t xml:space="preserve">stat</w:t>
            </w:r>
          </w:p>
        </w:tc>
      </w:tr>
      <w:tr>
        <w:tc>
          <w:tcPr/>
          <w:p>
            <w:pPr>
              <w:pStyle w:val="Compact"/>
            </w:pPr>
            <w:r>
              <w:t xml:space="preserve">2023_Q1</w:t>
            </w:r>
          </w:p>
        </w:tc>
        <w:tc>
          <w:tcPr/>
          <w:p>
            <w:pPr>
              <w:pStyle w:val="Compact"/>
            </w:pPr>
            <w:r>
              <w:t xml:space="preserve">XAG</w:t>
            </w:r>
          </w:p>
        </w:tc>
        <w:tc>
          <w:tcPr/>
          <w:p>
            <w:pPr>
              <w:pStyle w:val="Compact"/>
            </w:pPr>
            <w:r>
              <w:t xml:space="preserve">nan</w:t>
            </w:r>
          </w:p>
        </w:tc>
        <w:tc>
          <w:tcPr/>
          <w:p>
            <w:pPr>
              <w:pStyle w:val="Compact"/>
            </w:pPr>
            <w:r>
              <w:t xml:space="preserve">nan</w:t>
            </w:r>
          </w:p>
        </w:tc>
        <w:tc>
          <w:tcPr/>
          <w:p>
            <w:pPr>
              <w:pStyle w:val="Compact"/>
            </w:pPr>
            <w:r>
              <w:t xml:space="preserve">0.00</w:t>
            </w:r>
          </w:p>
        </w:tc>
        <w:tc>
          <w:tcPr/>
          <w:p>
            <w:pPr>
              <w:pStyle w:val="Compact"/>
            </w:pPr>
            <w:r>
              <w:t xml:space="preserve">0.00</w:t>
            </w:r>
          </w:p>
        </w:tc>
        <w:tc>
          <w:tcPr/>
          <w:p>
            <w:pPr>
              <w:pStyle w:val="Compact"/>
            </w:pPr>
            <w:r>
              <w:t xml:space="preserve">nan</w:t>
            </w:r>
          </w:p>
        </w:tc>
        <w:tc>
          <w:tcPr/>
          <w:p>
            <w:pPr>
              <w:pStyle w:val="Compact"/>
            </w:pPr>
            <w:r>
              <w:t xml:space="preserve">nan</w:t>
            </w:r>
          </w:p>
        </w:tc>
        <w:tc>
          <w:tcPr/>
          <w:p>
            <w:pPr>
              <w:pStyle w:val="Compact"/>
            </w:pPr>
            <w:r>
              <w:t xml:space="preserve">0.00</w:t>
            </w:r>
          </w:p>
        </w:tc>
        <w:tc>
          <w:tcPr/>
          <w:p>
            <w:pPr>
              <w:pStyle w:val="Compact"/>
            </w:pPr>
            <w:r>
              <w:t xml:space="preserve">nan</w:t>
            </w:r>
          </w:p>
        </w:tc>
      </w:tr>
      <w:tr>
        <w:tc>
          <w:tcPr/>
          <w:p>
            <w:pPr>
              <w:pStyle w:val="Compact"/>
            </w:pPr>
            <w:r>
              <w:t xml:space="preserve">2023_Q1</w:t>
            </w:r>
          </w:p>
        </w:tc>
        <w:tc>
          <w:tcPr/>
          <w:p>
            <w:pPr>
              <w:pStyle w:val="Compact"/>
            </w:pPr>
            <w:r>
              <w:t xml:space="preserve">XAU</w:t>
            </w:r>
          </w:p>
        </w:tc>
        <w:tc>
          <w:tcPr/>
          <w:p>
            <w:pPr>
              <w:pStyle w:val="Compact"/>
            </w:pPr>
            <w:r>
              <w:t xml:space="preserve">0.09</w:t>
            </w:r>
          </w:p>
        </w:tc>
        <w:tc>
          <w:tcPr/>
          <w:p>
            <w:pPr>
              <w:pStyle w:val="Compact"/>
            </w:pPr>
            <w:r>
              <w:t xml:space="preserve">-0.19</w:t>
            </w:r>
          </w:p>
        </w:tc>
        <w:tc>
          <w:tcPr/>
          <w:p>
            <w:pPr>
              <w:pStyle w:val="Compact"/>
            </w:pPr>
            <w:r>
              <w:t xml:space="preserve">659.80</w:t>
            </w:r>
          </w:p>
        </w:tc>
        <w:tc>
          <w:tcPr/>
          <w:p>
            <w:pPr>
              <w:pStyle w:val="Compact"/>
            </w:pPr>
            <w:r>
              <w:t xml:space="preserve">-1470.20</w:t>
            </w:r>
          </w:p>
        </w:tc>
        <w:tc>
          <w:tcPr/>
          <w:p>
            <w:pPr>
              <w:pStyle w:val="Compact"/>
            </w:pPr>
            <w:r>
              <w:t xml:space="preserve">0.16</w:t>
            </w:r>
          </w:p>
        </w:tc>
        <w:tc>
          <w:tcPr/>
          <w:p>
            <w:pPr>
              <w:pStyle w:val="Compact"/>
            </w:pPr>
            <w:r>
              <w:t xml:space="preserve">-0.32</w:t>
            </w:r>
          </w:p>
        </w:tc>
        <w:tc>
          <w:tcPr/>
          <w:p>
            <w:pPr>
              <w:pStyle w:val="Compact"/>
            </w:pPr>
            <w:r>
              <w:t xml:space="preserve">1.60</w:t>
            </w:r>
          </w:p>
        </w:tc>
        <w:tc>
          <w:tcPr/>
          <w:p>
            <w:pPr>
              <w:pStyle w:val="Compact"/>
            </w:pPr>
            <w:r>
              <w:t xml:space="preserve">-0.27</w:t>
            </w:r>
          </w:p>
        </w:tc>
      </w:tr>
      <w:tr>
        <w:tc>
          <w:tcPr/>
          <w:p>
            <w:pPr>
              <w:pStyle w:val="Compact"/>
            </w:pPr>
            <w:r>
              <w:t xml:space="preserve">2023_Q2</w:t>
            </w:r>
          </w:p>
        </w:tc>
        <w:tc>
          <w:tcPr/>
          <w:p>
            <w:pPr>
              <w:pStyle w:val="Compact"/>
            </w:pPr>
            <w:r>
              <w:t xml:space="preserve">XAG</w:t>
            </w:r>
          </w:p>
        </w:tc>
        <w:tc>
          <w:tcPr/>
          <w:p>
            <w:pPr>
              <w:pStyle w:val="Compact"/>
            </w:pPr>
            <w:r>
              <w:t xml:space="preserve">-0.20</w:t>
            </w:r>
          </w:p>
        </w:tc>
        <w:tc>
          <w:tcPr/>
          <w:p>
            <w:pPr>
              <w:pStyle w:val="Compact"/>
            </w:pPr>
            <w:r>
              <w:t xml:space="preserve">-0.30</w:t>
            </w:r>
          </w:p>
        </w:tc>
        <w:tc>
          <w:tcPr/>
          <w:p>
            <w:pPr>
              <w:pStyle w:val="Compact"/>
            </w:pPr>
            <w:r>
              <w:t xml:space="preserve">-80.00</w:t>
            </w:r>
          </w:p>
        </w:tc>
        <w:tc>
          <w:tcPr/>
          <w:p>
            <w:pPr>
              <w:pStyle w:val="Compact"/>
            </w:pPr>
            <w:r>
              <w:t xml:space="preserve">-120.00</w:t>
            </w:r>
          </w:p>
        </w:tc>
        <w:tc>
          <w:tcPr/>
          <w:p>
            <w:pPr>
              <w:pStyle w:val="Compact"/>
            </w:pPr>
            <w:r>
              <w:t xml:space="preserve">-0.65</w:t>
            </w:r>
          </w:p>
        </w:tc>
        <w:tc>
          <w:tcPr/>
          <w:p>
            <w:pPr>
              <w:pStyle w:val="Compact"/>
            </w:pPr>
            <w:r>
              <w:t xml:space="preserve">-0.94</w:t>
            </w:r>
          </w:p>
        </w:tc>
        <w:tc>
          <w:tcPr/>
          <w:p>
            <w:pPr>
              <w:pStyle w:val="Compact"/>
            </w:pPr>
            <w:r>
              <w:t xml:space="preserve">0.04</w:t>
            </w:r>
          </w:p>
        </w:tc>
        <w:tc>
          <w:tcPr/>
          <w:p>
            <w:pPr>
              <w:pStyle w:val="Compact"/>
            </w:pPr>
            <w:r>
              <w:t xml:space="preserve">-0.00</w:t>
            </w:r>
          </w:p>
        </w:tc>
      </w:tr>
      <w:tr>
        <w:tc>
          <w:tcPr/>
          <w:p>
            <w:pPr>
              <w:pStyle w:val="Compact"/>
            </w:pPr>
            <w:r>
              <w:t xml:space="preserve">2023_Q2</w:t>
            </w:r>
          </w:p>
        </w:tc>
        <w:tc>
          <w:tcPr/>
          <w:p>
            <w:pPr>
              <w:pStyle w:val="Compact"/>
            </w:pPr>
            <w:r>
              <w:t xml:space="preserve">XAU</w:t>
            </w:r>
          </w:p>
        </w:tc>
        <w:tc>
          <w:tcPr/>
          <w:p>
            <w:pPr>
              <w:pStyle w:val="Compact"/>
            </w:pPr>
            <w:r>
              <w:t xml:space="preserve">-1.80</w:t>
            </w:r>
          </w:p>
        </w:tc>
        <w:tc>
          <w:tcPr/>
          <w:p>
            <w:pPr>
              <w:pStyle w:val="Compact"/>
            </w:pPr>
            <w:r>
              <w:t xml:space="preserve">-2.17</w:t>
            </w:r>
          </w:p>
        </w:tc>
        <w:tc>
          <w:tcPr/>
          <w:p>
            <w:pPr>
              <w:pStyle w:val="Compact"/>
            </w:pPr>
            <w:r>
              <w:t xml:space="preserve">-9694.90</w:t>
            </w:r>
          </w:p>
        </w:tc>
        <w:tc>
          <w:tcPr/>
          <w:p>
            <w:pPr>
              <w:pStyle w:val="Compact"/>
            </w:pPr>
            <w:r>
              <w:t xml:space="preserve">-11749.90</w:t>
            </w:r>
          </w:p>
        </w:tc>
        <w:tc>
          <w:tcPr/>
          <w:p>
            <w:pPr>
              <w:pStyle w:val="Compact"/>
            </w:pPr>
            <w:r>
              <w:t xml:space="preserve">-2.88</w:t>
            </w:r>
          </w:p>
        </w:tc>
        <w:tc>
          <w:tcPr/>
          <w:p>
            <w:pPr>
              <w:pStyle w:val="Compact"/>
            </w:pPr>
            <w:r>
              <w:t xml:space="preserve">-3.09</w:t>
            </w:r>
          </w:p>
        </w:tc>
        <w:tc>
          <w:tcPr/>
          <w:p>
            <w:pPr>
              <w:pStyle w:val="Compact"/>
            </w:pPr>
            <w:r>
              <w:t xml:space="preserve">1.54</w:t>
            </w:r>
          </w:p>
        </w:tc>
        <w:tc>
          <w:tcPr/>
          <w:p>
            <w:pPr>
              <w:pStyle w:val="Compact"/>
            </w:pPr>
            <w:r>
              <w:t xml:space="preserve">-6.58</w:t>
            </w:r>
          </w:p>
        </w:tc>
      </w:tr>
      <w:tr>
        <w:tc>
          <w:tcPr/>
          <w:p>
            <w:pPr>
              <w:pStyle w:val="Compact"/>
            </w:pPr>
            <w:r>
              <w:t xml:space="preserve">2023_Q3</w:t>
            </w:r>
          </w:p>
        </w:tc>
        <w:tc>
          <w:tcPr/>
          <w:p>
            <w:pPr>
              <w:pStyle w:val="Compact"/>
            </w:pPr>
            <w:r>
              <w:t xml:space="preserve">XAG</w:t>
            </w:r>
          </w:p>
        </w:tc>
        <w:tc>
          <w:tcPr/>
          <w:p>
            <w:pPr>
              <w:pStyle w:val="Compact"/>
            </w:pPr>
            <w:r>
              <w:t xml:space="preserve">1.69</w:t>
            </w:r>
          </w:p>
        </w:tc>
        <w:tc>
          <w:tcPr/>
          <w:p>
            <w:pPr>
              <w:pStyle w:val="Compact"/>
            </w:pPr>
            <w:r>
              <w:t xml:space="preserve">1.69</w:t>
            </w:r>
          </w:p>
        </w:tc>
        <w:tc>
          <w:tcPr/>
          <w:p>
            <w:pPr>
              <w:pStyle w:val="Compact"/>
            </w:pPr>
            <w:r>
              <w:t xml:space="preserve">2225.00</w:t>
            </w:r>
          </w:p>
        </w:tc>
        <w:tc>
          <w:tcPr/>
          <w:p>
            <w:pPr>
              <w:pStyle w:val="Compact"/>
            </w:pPr>
            <w:r>
              <w:t xml:space="preserve">2205.00</w:t>
            </w:r>
          </w:p>
        </w:tc>
        <w:tc>
          <w:tcPr/>
          <w:p>
            <w:pPr>
              <w:pStyle w:val="Compact"/>
            </w:pPr>
            <w:r>
              <w:t xml:space="preserve">nan</w:t>
            </w:r>
          </w:p>
        </w:tc>
        <w:tc>
          <w:tcPr/>
          <w:p>
            <w:pPr>
              <w:pStyle w:val="Compact"/>
            </w:pPr>
            <w:r>
              <w:t xml:space="preserve">nan</w:t>
            </w:r>
          </w:p>
        </w:tc>
        <w:tc>
          <w:tcPr/>
          <w:p>
            <w:pPr>
              <w:pStyle w:val="Compact"/>
            </w:pPr>
            <w:r>
              <w:t xml:space="preserve">0.02</w:t>
            </w:r>
          </w:p>
        </w:tc>
        <w:tc>
          <w:tcPr/>
          <w:p>
            <w:pPr>
              <w:pStyle w:val="Compact"/>
            </w:pPr>
            <w:r>
              <w:t xml:space="preserve">0.94</w:t>
            </w:r>
          </w:p>
        </w:tc>
      </w:tr>
      <w:tr>
        <w:tc>
          <w:tcPr/>
          <w:p>
            <w:pPr>
              <w:pStyle w:val="Compact"/>
            </w:pPr>
            <w:r>
              <w:t xml:space="preserve">2023_Q3</w:t>
            </w:r>
          </w:p>
        </w:tc>
        <w:tc>
          <w:tcPr/>
          <w:p>
            <w:pPr>
              <w:pStyle w:val="Compact"/>
            </w:pPr>
            <w:r>
              <w:t xml:space="preserve">XAU</w:t>
            </w:r>
          </w:p>
        </w:tc>
        <w:tc>
          <w:tcPr/>
          <w:p>
            <w:pPr>
              <w:pStyle w:val="Compact"/>
            </w:pPr>
            <w:r>
              <w:t xml:space="preserve">1.61</w:t>
            </w:r>
          </w:p>
        </w:tc>
        <w:tc>
          <w:tcPr/>
          <w:p>
            <w:pPr>
              <w:pStyle w:val="Compact"/>
            </w:pPr>
            <w:r>
              <w:t xml:space="preserve">1.08</w:t>
            </w:r>
          </w:p>
        </w:tc>
        <w:tc>
          <w:tcPr/>
          <w:p>
            <w:pPr>
              <w:pStyle w:val="Compact"/>
            </w:pPr>
            <w:r>
              <w:t xml:space="preserve">4973.60</w:t>
            </w:r>
          </w:p>
        </w:tc>
        <w:tc>
          <w:tcPr/>
          <w:p>
            <w:pPr>
              <w:pStyle w:val="Compact"/>
            </w:pPr>
            <w:r>
              <w:t xml:space="preserve">3353.60</w:t>
            </w:r>
          </w:p>
        </w:tc>
        <w:tc>
          <w:tcPr/>
          <w:p>
            <w:pPr>
              <w:pStyle w:val="Compact"/>
            </w:pPr>
            <w:r>
              <w:t xml:space="preserve">4.82</w:t>
            </w:r>
          </w:p>
        </w:tc>
        <w:tc>
          <w:tcPr/>
          <w:p>
            <w:pPr>
              <w:pStyle w:val="Compact"/>
            </w:pPr>
            <w:r>
              <w:t xml:space="preserve">2.94</w:t>
            </w:r>
          </w:p>
        </w:tc>
        <w:tc>
          <w:tcPr/>
          <w:p>
            <w:pPr>
              <w:pStyle w:val="Compact"/>
            </w:pPr>
            <w:r>
              <w:t xml:space="preserve">1.21</w:t>
            </w:r>
          </w:p>
        </w:tc>
        <w:tc>
          <w:tcPr/>
          <w:p>
            <w:pPr>
              <w:pStyle w:val="Compact"/>
            </w:pPr>
            <w:r>
              <w:t xml:space="preserve">0.70</w:t>
            </w:r>
          </w:p>
        </w:tc>
      </w:tr>
      <w:tr>
        <w:tc>
          <w:tcPr/>
          <w:p>
            <w:pPr>
              <w:pStyle w:val="Compact"/>
            </w:pPr>
            <w:r>
              <w:t xml:space="preserve">2023_Q4</w:t>
            </w:r>
          </w:p>
        </w:tc>
        <w:tc>
          <w:tcPr/>
          <w:p>
            <w:pPr>
              <w:pStyle w:val="Compact"/>
            </w:pPr>
            <w:r>
              <w:t xml:space="preserve">XAG</w:t>
            </w:r>
          </w:p>
        </w:tc>
        <w:tc>
          <w:tcPr/>
          <w:p>
            <w:pPr>
              <w:pStyle w:val="Compact"/>
            </w:pPr>
            <w:r>
              <w:t xml:space="preserve">2.40</w:t>
            </w:r>
          </w:p>
        </w:tc>
        <w:tc>
          <w:tcPr/>
          <w:p>
            <w:pPr>
              <w:pStyle w:val="Compact"/>
            </w:pPr>
            <w:r>
              <w:t xml:space="preserve">2.39</w:t>
            </w:r>
          </w:p>
        </w:tc>
        <w:tc>
          <w:tcPr/>
          <w:p>
            <w:pPr>
              <w:pStyle w:val="Compact"/>
            </w:pPr>
            <w:r>
              <w:t xml:space="preserve">1405.00</w:t>
            </w:r>
          </w:p>
        </w:tc>
        <w:tc>
          <w:tcPr/>
          <w:p>
            <w:pPr>
              <w:pStyle w:val="Compact"/>
            </w:pPr>
            <w:r>
              <w:t xml:space="preserve">1365.00</w:t>
            </w:r>
          </w:p>
        </w:tc>
        <w:tc>
          <w:tcPr/>
          <w:p>
            <w:pPr>
              <w:pStyle w:val="Compact"/>
            </w:pPr>
            <w:r>
              <w:t xml:space="preserve">nan</w:t>
            </w:r>
          </w:p>
        </w:tc>
        <w:tc>
          <w:tcPr/>
          <w:p>
            <w:pPr>
              <w:pStyle w:val="Compact"/>
            </w:pPr>
            <w:r>
              <w:t xml:space="preserve">nan</w:t>
            </w:r>
          </w:p>
        </w:tc>
        <w:tc>
          <w:tcPr/>
          <w:p>
            <w:pPr>
              <w:pStyle w:val="Compact"/>
            </w:pPr>
            <w:r>
              <w:t xml:space="preserve">0.04</w:t>
            </w:r>
          </w:p>
        </w:tc>
        <w:tc>
          <w:tcPr/>
          <w:p>
            <w:pPr>
              <w:pStyle w:val="Compact"/>
            </w:pPr>
            <w:r>
              <w:t xml:space="preserve">0.59</w:t>
            </w:r>
          </w:p>
        </w:tc>
      </w:tr>
      <w:tr>
        <w:tc>
          <w:tcPr/>
          <w:p>
            <w:pPr>
              <w:pStyle w:val="Compact"/>
            </w:pPr>
            <w:r>
              <w:t xml:space="preserve">2023_Q4</w:t>
            </w:r>
          </w:p>
        </w:tc>
        <w:tc>
          <w:tcPr/>
          <w:p>
            <w:pPr>
              <w:pStyle w:val="Compact"/>
            </w:pPr>
            <w:r>
              <w:t xml:space="preserve">XAU</w:t>
            </w:r>
          </w:p>
        </w:tc>
        <w:tc>
          <w:tcPr/>
          <w:p>
            <w:pPr>
              <w:pStyle w:val="Compact"/>
            </w:pPr>
            <w:r>
              <w:t xml:space="preserve">2.07</w:t>
            </w:r>
          </w:p>
        </w:tc>
        <w:tc>
          <w:tcPr/>
          <w:p>
            <w:pPr>
              <w:pStyle w:val="Compact"/>
            </w:pPr>
            <w:r>
              <w:t xml:space="preserve">1.72</w:t>
            </w:r>
          </w:p>
        </w:tc>
        <w:tc>
          <w:tcPr/>
          <w:p>
            <w:pPr>
              <w:pStyle w:val="Compact"/>
            </w:pPr>
            <w:r>
              <w:t xml:space="preserve">11856.90</w:t>
            </w:r>
          </w:p>
        </w:tc>
        <w:tc>
          <w:tcPr/>
          <w:p>
            <w:pPr>
              <w:pStyle w:val="Compact"/>
            </w:pPr>
            <w:r>
              <w:t xml:space="preserve">9876.90</w:t>
            </w:r>
          </w:p>
        </w:tc>
        <w:tc>
          <w:tcPr/>
          <w:p>
            <w:pPr>
              <w:pStyle w:val="Compact"/>
            </w:pPr>
            <w:r>
              <w:t xml:space="preserve">7.59</w:t>
            </w:r>
          </w:p>
        </w:tc>
        <w:tc>
          <w:tcPr/>
          <w:p>
            <w:pPr>
              <w:pStyle w:val="Compact"/>
            </w:pPr>
            <w:r>
              <w:t xml:space="preserve">6.19</w:t>
            </w:r>
          </w:p>
        </w:tc>
        <w:tc>
          <w:tcPr/>
          <w:p>
            <w:pPr>
              <w:pStyle w:val="Compact"/>
            </w:pPr>
            <w:r>
              <w:t xml:space="preserve">1.48</w:t>
            </w:r>
          </w:p>
        </w:tc>
        <w:tc>
          <w:tcPr/>
          <w:p>
            <w:pPr>
              <w:pStyle w:val="Compact"/>
            </w:pPr>
            <w:r>
              <w:t xml:space="preserve">2.79</w:t>
            </w:r>
          </w:p>
        </w:tc>
      </w:tr>
      <w:tr>
        <w:tc>
          <w:tcPr/>
          <w:p>
            <w:pPr>
              <w:pStyle w:val="Compact"/>
            </w:pPr>
            <w:r>
              <w:t xml:space="preserve">2024_Q1</w:t>
            </w:r>
          </w:p>
        </w:tc>
        <w:tc>
          <w:tcPr/>
          <w:p>
            <w:pPr>
              <w:pStyle w:val="Compact"/>
            </w:pPr>
            <w:r>
              <w:t xml:space="preserve">XAG</w:t>
            </w:r>
          </w:p>
        </w:tc>
        <w:tc>
          <w:tcPr/>
          <w:p>
            <w:pPr>
              <w:pStyle w:val="Compact"/>
            </w:pPr>
            <w:r>
              <w:t xml:space="preserve">1.67</w:t>
            </w:r>
          </w:p>
        </w:tc>
        <w:tc>
          <w:tcPr/>
          <w:p>
            <w:pPr>
              <w:pStyle w:val="Compact"/>
            </w:pPr>
            <w:r>
              <w:t xml:space="preserve">1.67</w:t>
            </w:r>
          </w:p>
        </w:tc>
        <w:tc>
          <w:tcPr/>
          <w:p>
            <w:pPr>
              <w:pStyle w:val="Compact"/>
            </w:pPr>
            <w:r>
              <w:t xml:space="preserve">655.00</w:t>
            </w:r>
          </w:p>
        </w:tc>
        <w:tc>
          <w:tcPr/>
          <w:p>
            <w:pPr>
              <w:pStyle w:val="Compact"/>
            </w:pPr>
            <w:r>
              <w:t xml:space="preserve">635.00</w:t>
            </w:r>
          </w:p>
        </w:tc>
        <w:tc>
          <w:tcPr/>
          <w:p>
            <w:pPr>
              <w:pStyle w:val="Compact"/>
            </w:pPr>
            <w:r>
              <w:t xml:space="preserve">nan</w:t>
            </w:r>
          </w:p>
        </w:tc>
        <w:tc>
          <w:tcPr/>
          <w:p>
            <w:pPr>
              <w:pStyle w:val="Compact"/>
            </w:pPr>
            <w:r>
              <w:t xml:space="preserve">nan</w:t>
            </w:r>
          </w:p>
        </w:tc>
        <w:tc>
          <w:tcPr/>
          <w:p>
            <w:pPr>
              <w:pStyle w:val="Compact"/>
            </w:pPr>
            <w:r>
              <w:t xml:space="preserve">0.02</w:t>
            </w:r>
          </w:p>
        </w:tc>
        <w:tc>
          <w:tcPr/>
          <w:p>
            <w:pPr>
              <w:pStyle w:val="Compact"/>
            </w:pPr>
            <w:r>
              <w:t xml:space="preserve">0.00</w:t>
            </w:r>
          </w:p>
        </w:tc>
      </w:tr>
      <w:tr>
        <w:tc>
          <w:tcPr/>
          <w:p>
            <w:pPr>
              <w:pStyle w:val="Compact"/>
            </w:pPr>
            <w:r>
              <w:t xml:space="preserve">2024_Q1</w:t>
            </w:r>
          </w:p>
        </w:tc>
        <w:tc>
          <w:tcPr/>
          <w:p>
            <w:pPr>
              <w:pStyle w:val="Compact"/>
            </w:pPr>
            <w:r>
              <w:t xml:space="preserve">XAU</w:t>
            </w:r>
          </w:p>
        </w:tc>
        <w:tc>
          <w:tcPr/>
          <w:p>
            <w:pPr>
              <w:pStyle w:val="Compact"/>
            </w:pPr>
            <w:r>
              <w:t xml:space="preserve">-0.50</w:t>
            </w:r>
          </w:p>
        </w:tc>
        <w:tc>
          <w:tcPr/>
          <w:p>
            <w:pPr>
              <w:pStyle w:val="Compact"/>
            </w:pPr>
            <w:r>
              <w:t xml:space="preserve">-0.82</w:t>
            </w:r>
          </w:p>
        </w:tc>
        <w:tc>
          <w:tcPr/>
          <w:p>
            <w:pPr>
              <w:pStyle w:val="Compact"/>
            </w:pPr>
            <w:r>
              <w:t xml:space="preserve">-3229.20</w:t>
            </w:r>
          </w:p>
        </w:tc>
        <w:tc>
          <w:tcPr/>
          <w:p>
            <w:pPr>
              <w:pStyle w:val="Compact"/>
            </w:pPr>
            <w:r>
              <w:t xml:space="preserve">-5269.20</w:t>
            </w:r>
          </w:p>
        </w:tc>
        <w:tc>
          <w:tcPr/>
          <w:p>
            <w:pPr>
              <w:pStyle w:val="Compact"/>
            </w:pPr>
            <w:r>
              <w:t xml:space="preserve">-1.27</w:t>
            </w:r>
          </w:p>
        </w:tc>
        <w:tc>
          <w:tcPr/>
          <w:p>
            <w:pPr>
              <w:pStyle w:val="Compact"/>
            </w:pPr>
            <w:r>
              <w:t xml:space="preserve">-1.85</w:t>
            </w:r>
          </w:p>
        </w:tc>
        <w:tc>
          <w:tcPr/>
          <w:p>
            <w:pPr>
              <w:pStyle w:val="Compact"/>
            </w:pPr>
            <w:r>
              <w:t xml:space="preserve">1.49</w:t>
            </w:r>
          </w:p>
        </w:tc>
        <w:tc>
          <w:tcPr/>
          <w:p>
            <w:pPr>
              <w:pStyle w:val="Compact"/>
            </w:pPr>
            <w:r>
              <w:t xml:space="preserve">-2.19</w:t>
            </w:r>
          </w:p>
        </w:tc>
      </w:tr>
      <w:tr>
        <w:tc>
          <w:tcPr/>
          <w:p>
            <w:pPr>
              <w:pStyle w:val="Compact"/>
            </w:pPr>
            <w:r>
              <w:t xml:space="preserve">2024_Q2</w:t>
            </w:r>
          </w:p>
        </w:tc>
        <w:tc>
          <w:tcPr/>
          <w:p>
            <w:pPr>
              <w:pStyle w:val="Compact"/>
            </w:pPr>
            <w:r>
              <w:t xml:space="preserve">XAG</w:t>
            </w:r>
          </w:p>
        </w:tc>
        <w:tc>
          <w:tcPr/>
          <w:p>
            <w:pPr>
              <w:pStyle w:val="Compact"/>
            </w:pPr>
            <w:r>
              <w:t xml:space="preserve">1.98</w:t>
            </w:r>
          </w:p>
        </w:tc>
        <w:tc>
          <w:tcPr/>
          <w:p>
            <w:pPr>
              <w:pStyle w:val="Compact"/>
            </w:pPr>
            <w:r>
              <w:t xml:space="preserve">1.90</w:t>
            </w:r>
          </w:p>
        </w:tc>
        <w:tc>
          <w:tcPr/>
          <w:p>
            <w:pPr>
              <w:pStyle w:val="Compact"/>
            </w:pPr>
            <w:r>
              <w:t xml:space="preserve">6355.00</w:t>
            </w:r>
          </w:p>
        </w:tc>
        <w:tc>
          <w:tcPr/>
          <w:p>
            <w:pPr>
              <w:pStyle w:val="Compact"/>
            </w:pPr>
            <w:r>
              <w:t xml:space="preserve">6095.00</w:t>
            </w:r>
          </w:p>
        </w:tc>
        <w:tc>
          <w:tcPr/>
          <w:p>
            <w:pPr>
              <w:pStyle w:val="Compact"/>
            </w:pPr>
            <w:r>
              <w:t xml:space="preserve">5.49</w:t>
            </w:r>
          </w:p>
        </w:tc>
        <w:tc>
          <w:tcPr/>
          <w:p>
            <w:pPr>
              <w:pStyle w:val="Compact"/>
            </w:pPr>
            <w:r>
              <w:t xml:space="preserve">5.18</w:t>
            </w:r>
          </w:p>
        </w:tc>
        <w:tc>
          <w:tcPr/>
          <w:p>
            <w:pPr>
              <w:pStyle w:val="Compact"/>
            </w:pPr>
            <w:r>
              <w:t xml:space="preserve">0.29</w:t>
            </w:r>
          </w:p>
        </w:tc>
        <w:tc>
          <w:tcPr/>
          <w:p>
            <w:pPr>
              <w:pStyle w:val="Compact"/>
            </w:pPr>
            <w:r>
              <w:t xml:space="preserve">2.53</w:t>
            </w:r>
          </w:p>
        </w:tc>
      </w:tr>
      <w:tr>
        <w:tc>
          <w:tcPr/>
          <w:p>
            <w:pPr>
              <w:pStyle w:val="Compact"/>
            </w:pPr>
            <w:r>
              <w:t xml:space="preserve">2024_Q2</w:t>
            </w:r>
          </w:p>
        </w:tc>
        <w:tc>
          <w:tcPr/>
          <w:p>
            <w:pPr>
              <w:pStyle w:val="Compact"/>
            </w:pPr>
            <w:r>
              <w:t xml:space="preserve">XAU</w:t>
            </w:r>
          </w:p>
        </w:tc>
        <w:tc>
          <w:tcPr/>
          <w:p>
            <w:pPr>
              <w:pStyle w:val="Compact"/>
            </w:pPr>
            <w:r>
              <w:t xml:space="preserve">-0.29</w:t>
            </w:r>
          </w:p>
        </w:tc>
        <w:tc>
          <w:tcPr/>
          <w:p>
            <w:pPr>
              <w:pStyle w:val="Compact"/>
            </w:pPr>
            <w:r>
              <w:t xml:space="preserve">-0.54</w:t>
            </w:r>
          </w:p>
        </w:tc>
        <w:tc>
          <w:tcPr/>
          <w:p>
            <w:pPr>
              <w:pStyle w:val="Compact"/>
            </w:pPr>
            <w:r>
              <w:t xml:space="preserve">-2758.00</w:t>
            </w:r>
          </w:p>
        </w:tc>
        <w:tc>
          <w:tcPr/>
          <w:p>
            <w:pPr>
              <w:pStyle w:val="Compact"/>
            </w:pPr>
            <w:r>
              <w:t xml:space="preserve">-5158.00</w:t>
            </w:r>
          </w:p>
        </w:tc>
        <w:tc>
          <w:tcPr/>
          <w:p>
            <w:pPr>
              <w:pStyle w:val="Compact"/>
            </w:pPr>
            <w:r>
              <w:t xml:space="preserve">-0.54</w:t>
            </w:r>
          </w:p>
        </w:tc>
        <w:tc>
          <w:tcPr/>
          <w:p>
            <w:pPr>
              <w:pStyle w:val="Compact"/>
            </w:pPr>
            <w:r>
              <w:t xml:space="preserve">-0.98</w:t>
            </w:r>
          </w:p>
        </w:tc>
        <w:tc>
          <w:tcPr/>
          <w:p>
            <w:pPr>
              <w:pStyle w:val="Compact"/>
            </w:pPr>
            <w:r>
              <w:t xml:space="preserve">1.76</w:t>
            </w:r>
          </w:p>
        </w:tc>
        <w:tc>
          <w:tcPr/>
          <w:p>
            <w:pPr>
              <w:pStyle w:val="Compact"/>
            </w:pPr>
            <w:r>
              <w:t xml:space="preserve">-1.71</w:t>
            </w:r>
          </w:p>
        </w:tc>
      </w:tr>
      <w:tr>
        <w:tc>
          <w:tcPr/>
          <w:p>
            <w:pPr>
              <w:pStyle w:val="Compact"/>
            </w:pPr>
            <w:r>
              <w:t xml:space="preserve">2024_Q3</w:t>
            </w:r>
          </w:p>
        </w:tc>
        <w:tc>
          <w:tcPr/>
          <w:p>
            <w:pPr>
              <w:pStyle w:val="Compact"/>
            </w:pPr>
            <w:r>
              <w:t xml:space="preserve">XAG</w:t>
            </w:r>
          </w:p>
        </w:tc>
        <w:tc>
          <w:tcPr/>
          <w:p>
            <w:pPr>
              <w:pStyle w:val="Compact"/>
            </w:pPr>
            <w:r>
              <w:t xml:space="preserve">1.30</w:t>
            </w:r>
          </w:p>
        </w:tc>
        <w:tc>
          <w:tcPr/>
          <w:p>
            <w:pPr>
              <w:pStyle w:val="Compact"/>
            </w:pPr>
            <w:r>
              <w:t xml:space="preserve">1.23</w:t>
            </w:r>
          </w:p>
        </w:tc>
        <w:tc>
          <w:tcPr/>
          <w:p>
            <w:pPr>
              <w:pStyle w:val="Compact"/>
            </w:pPr>
            <w:r>
              <w:t xml:space="preserve">4065.00</w:t>
            </w:r>
          </w:p>
        </w:tc>
        <w:tc>
          <w:tcPr/>
          <w:p>
            <w:pPr>
              <w:pStyle w:val="Compact"/>
            </w:pPr>
            <w:r>
              <w:t xml:space="preserve">3825.00</w:t>
            </w:r>
          </w:p>
        </w:tc>
        <w:tc>
          <w:tcPr/>
          <w:p>
            <w:pPr>
              <w:pStyle w:val="Compact"/>
            </w:pPr>
            <w:r>
              <w:t xml:space="preserve">6.55</w:t>
            </w:r>
          </w:p>
        </w:tc>
        <w:tc>
          <w:tcPr/>
          <w:p>
            <w:pPr>
              <w:pStyle w:val="Compact"/>
            </w:pPr>
            <w:r>
              <w:t xml:space="preserve">6.07</w:t>
            </w:r>
          </w:p>
        </w:tc>
        <w:tc>
          <w:tcPr/>
          <w:p>
            <w:pPr>
              <w:pStyle w:val="Compact"/>
            </w:pPr>
            <w:r>
              <w:t xml:space="preserve">0.26</w:t>
            </w:r>
          </w:p>
        </w:tc>
        <w:tc>
          <w:tcPr/>
          <w:p>
            <w:pPr>
              <w:pStyle w:val="Compact"/>
            </w:pPr>
            <w:r>
              <w:t xml:space="preserve">0.97</w:t>
            </w:r>
          </w:p>
        </w:tc>
      </w:tr>
      <w:tr>
        <w:tc>
          <w:tcPr/>
          <w:p>
            <w:pPr>
              <w:pStyle w:val="Compact"/>
            </w:pPr>
            <w:r>
              <w:t xml:space="preserve">2024_Q3</w:t>
            </w:r>
          </w:p>
        </w:tc>
        <w:tc>
          <w:tcPr/>
          <w:p>
            <w:pPr>
              <w:pStyle w:val="Compact"/>
            </w:pPr>
            <w:r>
              <w:t xml:space="preserve">XAU</w:t>
            </w:r>
          </w:p>
        </w:tc>
        <w:tc>
          <w:tcPr/>
          <w:p>
            <w:pPr>
              <w:pStyle w:val="Compact"/>
            </w:pPr>
            <w:r>
              <w:t xml:space="preserve">2.86</w:t>
            </w:r>
          </w:p>
        </w:tc>
        <w:tc>
          <w:tcPr/>
          <w:p>
            <w:pPr>
              <w:pStyle w:val="Compact"/>
            </w:pPr>
            <w:r>
              <w:t xml:space="preserve">2.59</w:t>
            </w:r>
          </w:p>
        </w:tc>
        <w:tc>
          <w:tcPr/>
          <w:p>
            <w:pPr>
              <w:pStyle w:val="Compact"/>
            </w:pPr>
            <w:r>
              <w:t xml:space="preserve">22526.80</w:t>
            </w:r>
          </w:p>
        </w:tc>
        <w:tc>
          <w:tcPr/>
          <w:p>
            <w:pPr>
              <w:pStyle w:val="Compact"/>
            </w:pPr>
            <w:r>
              <w:t xml:space="preserve">20366.80</w:t>
            </w:r>
          </w:p>
        </w:tc>
        <w:tc>
          <w:tcPr/>
          <w:p>
            <w:pPr>
              <w:pStyle w:val="Compact"/>
            </w:pPr>
            <w:r>
              <w:t xml:space="preserve">14.89</w:t>
            </w:r>
          </w:p>
        </w:tc>
        <w:tc>
          <w:tcPr/>
          <w:p>
            <w:pPr>
              <w:pStyle w:val="Compact"/>
            </w:pPr>
            <w:r>
              <w:t xml:space="preserve">11.88</w:t>
            </w:r>
          </w:p>
        </w:tc>
        <w:tc>
          <w:tcPr/>
          <w:p>
            <w:pPr>
              <w:pStyle w:val="Compact"/>
            </w:pPr>
            <w:r>
              <w:t xml:space="preserve">1.57</w:t>
            </w:r>
          </w:p>
        </w:tc>
        <w:tc>
          <w:tcPr/>
          <w:p>
            <w:pPr>
              <w:pStyle w:val="Compact"/>
            </w:pPr>
            <w:r>
              <w:t xml:space="preserve">6.28</w:t>
            </w:r>
          </w:p>
        </w:tc>
      </w:tr>
      <w:tr>
        <w:tc>
          <w:tcPr/>
          <w:p>
            <w:pPr>
              <w:pStyle w:val="Compact"/>
            </w:pPr>
            <w:r>
              <w:t xml:space="preserve">2024_Q4</w:t>
            </w:r>
          </w:p>
        </w:tc>
        <w:tc>
          <w:tcPr/>
          <w:p>
            <w:pPr>
              <w:pStyle w:val="Compact"/>
            </w:pPr>
            <w:r>
              <w:t xml:space="preserve">XAG</w:t>
            </w:r>
          </w:p>
        </w:tc>
        <w:tc>
          <w:tcPr/>
          <w:p>
            <w:pPr>
              <w:pStyle w:val="Compact"/>
            </w:pPr>
            <w:r>
              <w:t xml:space="preserve">-1.03</w:t>
            </w:r>
          </w:p>
        </w:tc>
        <w:tc>
          <w:tcPr/>
          <w:p>
            <w:pPr>
              <w:pStyle w:val="Compact"/>
            </w:pPr>
            <w:r>
              <w:t xml:space="preserve">-1.11</w:t>
            </w:r>
          </w:p>
        </w:tc>
        <w:tc>
          <w:tcPr/>
          <w:p>
            <w:pPr>
              <w:pStyle w:val="Compact"/>
            </w:pPr>
            <w:r>
              <w:t xml:space="preserve">-1740.00</w:t>
            </w:r>
          </w:p>
        </w:tc>
        <w:tc>
          <w:tcPr/>
          <w:p>
            <w:pPr>
              <w:pStyle w:val="Compact"/>
            </w:pPr>
            <w:r>
              <w:t xml:space="preserve">-1880.00</w:t>
            </w:r>
          </w:p>
        </w:tc>
        <w:tc>
          <w:tcPr/>
          <w:p>
            <w:pPr>
              <w:pStyle w:val="Compact"/>
            </w:pPr>
            <w:r>
              <w:t xml:space="preserve">-1.98</w:t>
            </w:r>
          </w:p>
        </w:tc>
        <w:tc>
          <w:tcPr/>
          <w:p>
            <w:pPr>
              <w:pStyle w:val="Compact"/>
            </w:pPr>
            <w:r>
              <w:t xml:space="preserve">-2.07</w:t>
            </w:r>
          </w:p>
        </w:tc>
        <w:tc>
          <w:tcPr/>
          <w:p>
            <w:pPr>
              <w:pStyle w:val="Compact"/>
            </w:pPr>
            <w:r>
              <w:t xml:space="preserve">0.15</w:t>
            </w:r>
          </w:p>
        </w:tc>
        <w:tc>
          <w:tcPr/>
          <w:p>
            <w:pPr>
              <w:pStyle w:val="Compact"/>
            </w:pPr>
            <w:r>
              <w:t xml:space="preserve">-1.02</w:t>
            </w:r>
          </w:p>
        </w:tc>
      </w:tr>
      <w:tr>
        <w:tc>
          <w:tcPr/>
          <w:p>
            <w:pPr>
              <w:pStyle w:val="Compact"/>
            </w:pPr>
            <w:r>
              <w:t xml:space="preserve">2024_Q4</w:t>
            </w:r>
          </w:p>
        </w:tc>
        <w:tc>
          <w:tcPr/>
          <w:p>
            <w:pPr>
              <w:pStyle w:val="Compact"/>
            </w:pPr>
            <w:r>
              <w:t xml:space="preserve">XAU</w:t>
            </w:r>
          </w:p>
        </w:tc>
        <w:tc>
          <w:tcPr/>
          <w:p>
            <w:pPr>
              <w:pStyle w:val="Compact"/>
            </w:pPr>
            <w:r>
              <w:t xml:space="preserve">3.43</w:t>
            </w:r>
          </w:p>
        </w:tc>
        <w:tc>
          <w:tcPr/>
          <w:p>
            <w:pPr>
              <w:pStyle w:val="Compact"/>
            </w:pPr>
            <w:r>
              <w:t xml:space="preserve">3.19</w:t>
            </w:r>
          </w:p>
        </w:tc>
        <w:tc>
          <w:tcPr/>
          <w:p>
            <w:pPr>
              <w:pStyle w:val="Compact"/>
            </w:pPr>
            <w:r>
              <w:t xml:space="preserve">29483.30</w:t>
            </w:r>
          </w:p>
        </w:tc>
        <w:tc>
          <w:tcPr/>
          <w:p>
            <w:pPr>
              <w:pStyle w:val="Compact"/>
            </w:pPr>
            <w:r>
              <w:t xml:space="preserve">27443.30</w:t>
            </w:r>
          </w:p>
        </w:tc>
        <w:tc>
          <w:tcPr/>
          <w:p>
            <w:pPr>
              <w:pStyle w:val="Compact"/>
            </w:pPr>
            <w:r>
              <w:t xml:space="preserve">13.45</w:t>
            </w:r>
          </w:p>
        </w:tc>
        <w:tc>
          <w:tcPr/>
          <w:p>
            <w:pPr>
              <w:pStyle w:val="Compact"/>
            </w:pPr>
            <w:r>
              <w:t xml:space="preserve">12.03</w:t>
            </w:r>
          </w:p>
        </w:tc>
        <w:tc>
          <w:tcPr/>
          <w:p>
            <w:pPr>
              <w:pStyle w:val="Compact"/>
            </w:pPr>
            <w:r>
              <w:t xml:space="preserve">1.49</w:t>
            </w:r>
          </w:p>
        </w:tc>
        <w:tc>
          <w:tcPr/>
          <w:p>
            <w:pPr>
              <w:pStyle w:val="Compact"/>
            </w:pPr>
            <w:r>
              <w:t xml:space="preserve">8.91</w:t>
            </w:r>
          </w:p>
        </w:tc>
      </w:tr>
      <w:tr>
        <w:tc>
          <w:tcPr/>
          <w:p>
            <w:pPr>
              <w:pStyle w:val="Compact"/>
            </w:pPr>
            <w:r>
              <w:t xml:space="preserve">2025_Q1</w:t>
            </w:r>
          </w:p>
        </w:tc>
        <w:tc>
          <w:tcPr/>
          <w:p>
            <w:pPr>
              <w:pStyle w:val="Compact"/>
            </w:pPr>
            <w:r>
              <w:t xml:space="preserve">XAG</w:t>
            </w:r>
          </w:p>
        </w:tc>
        <w:tc>
          <w:tcPr/>
          <w:p>
            <w:pPr>
              <w:pStyle w:val="Compact"/>
            </w:pPr>
            <w:r>
              <w:t xml:space="preserve">-0.11</w:t>
            </w:r>
          </w:p>
        </w:tc>
        <w:tc>
          <w:tcPr/>
          <w:p>
            <w:pPr>
              <w:pStyle w:val="Compact"/>
            </w:pPr>
            <w:r>
              <w:t xml:space="preserve">-0.16</w:t>
            </w:r>
          </w:p>
        </w:tc>
        <w:tc>
          <w:tcPr/>
          <w:p>
            <w:pPr>
              <w:pStyle w:val="Compact"/>
            </w:pPr>
            <w:r>
              <w:t xml:space="preserve">-90.00</w:t>
            </w:r>
          </w:p>
        </w:tc>
        <w:tc>
          <w:tcPr/>
          <w:p>
            <w:pPr>
              <w:pStyle w:val="Compact"/>
            </w:pPr>
            <w:r>
              <w:t xml:space="preserve">-130.00</w:t>
            </w:r>
          </w:p>
        </w:tc>
        <w:tc>
          <w:tcPr/>
          <w:p>
            <w:pPr>
              <w:pStyle w:val="Compact"/>
            </w:pPr>
            <w:r>
              <w:t xml:space="preserve">-0.37</w:t>
            </w:r>
          </w:p>
        </w:tc>
        <w:tc>
          <w:tcPr/>
          <w:p>
            <w:pPr>
              <w:pStyle w:val="Compact"/>
            </w:pPr>
            <w:r>
              <w:t xml:space="preserve">-0.53</w:t>
            </w:r>
          </w:p>
        </w:tc>
        <w:tc>
          <w:tcPr/>
          <w:p>
            <w:pPr>
              <w:pStyle w:val="Compact"/>
            </w:pPr>
            <w:r>
              <w:t xml:space="preserve">0.04</w:t>
            </w:r>
          </w:p>
        </w:tc>
        <w:tc>
          <w:tcPr/>
          <w:p>
            <w:pPr>
              <w:pStyle w:val="Compact"/>
            </w:pPr>
            <w:r>
              <w:t xml:space="preserve">-0.00</w:t>
            </w:r>
          </w:p>
        </w:tc>
      </w:tr>
      <w:tr>
        <w:tc>
          <w:tcPr/>
          <w:p>
            <w:pPr>
              <w:pStyle w:val="Compact"/>
            </w:pPr>
            <w:r>
              <w:t xml:space="preserve">2025_Q1</w:t>
            </w:r>
          </w:p>
        </w:tc>
        <w:tc>
          <w:tcPr/>
          <w:p>
            <w:pPr>
              <w:pStyle w:val="Compact"/>
            </w:pPr>
            <w:r>
              <w:t xml:space="preserve">XAU</w:t>
            </w:r>
          </w:p>
        </w:tc>
        <w:tc>
          <w:tcPr/>
          <w:p>
            <w:pPr>
              <w:pStyle w:val="Compact"/>
            </w:pPr>
            <w:r>
              <w:t xml:space="preserve">2.35</w:t>
            </w:r>
          </w:p>
        </w:tc>
        <w:tc>
          <w:tcPr/>
          <w:p>
            <w:pPr>
              <w:pStyle w:val="Compact"/>
            </w:pPr>
            <w:r>
              <w:t xml:space="preserve">2.10</w:t>
            </w:r>
          </w:p>
        </w:tc>
        <w:tc>
          <w:tcPr/>
          <w:p>
            <w:pPr>
              <w:pStyle w:val="Compact"/>
            </w:pPr>
            <w:r>
              <w:t xml:space="preserve">20719.00</w:t>
            </w:r>
          </w:p>
        </w:tc>
        <w:tc>
          <w:tcPr/>
          <w:p>
            <w:pPr>
              <w:pStyle w:val="Compact"/>
            </w:pPr>
            <w:r>
              <w:t xml:space="preserve">18544.00</w:t>
            </w:r>
          </w:p>
        </w:tc>
        <w:tc>
          <w:tcPr/>
          <w:p>
            <w:pPr>
              <w:pStyle w:val="Compact"/>
            </w:pPr>
            <w:r>
              <w:t xml:space="preserve">10.05</w:t>
            </w:r>
          </w:p>
        </w:tc>
        <w:tc>
          <w:tcPr/>
          <w:p>
            <w:pPr>
              <w:pStyle w:val="Compact"/>
            </w:pPr>
            <w:r>
              <w:t xml:space="preserve">8.60</w:t>
            </w:r>
          </w:p>
        </w:tc>
        <w:tc>
          <w:tcPr/>
          <w:p>
            <w:pPr>
              <w:pStyle w:val="Compact"/>
            </w:pPr>
            <w:r>
              <w:t xml:space="preserve">1.61</w:t>
            </w:r>
          </w:p>
        </w:tc>
        <w:tc>
          <w:tcPr/>
          <w:p>
            <w:pPr>
              <w:pStyle w:val="Compact"/>
            </w:pPr>
            <w:r>
              <w:t xml:space="preserve">4.68</w:t>
            </w:r>
          </w:p>
        </w:tc>
      </w:tr>
      <w:tr>
        <w:tc>
          <w:tcPr/>
          <w:p>
            <w:pPr>
              <w:pStyle w:val="Compact"/>
            </w:pPr>
            <w:r>
              <w:t xml:space="preserve">2025_Q2</w:t>
            </w:r>
          </w:p>
        </w:tc>
        <w:tc>
          <w:tcPr/>
          <w:p>
            <w:pPr>
              <w:pStyle w:val="Compact"/>
            </w:pPr>
            <w:r>
              <w:t xml:space="preserve">XAG</w:t>
            </w:r>
          </w:p>
        </w:tc>
        <w:tc>
          <w:tcPr/>
          <w:p>
            <w:pPr>
              <w:pStyle w:val="Compact"/>
            </w:pPr>
            <w:r>
              <w:t xml:space="preserve">-0.72</w:t>
            </w:r>
          </w:p>
        </w:tc>
        <w:tc>
          <w:tcPr/>
          <w:p>
            <w:pPr>
              <w:pStyle w:val="Compact"/>
            </w:pPr>
            <w:r>
              <w:t xml:space="preserve">-0.86</w:t>
            </w:r>
          </w:p>
        </w:tc>
        <w:tc>
          <w:tcPr/>
          <w:p>
            <w:pPr>
              <w:pStyle w:val="Compact"/>
            </w:pPr>
            <w:r>
              <w:t xml:space="preserve">-580.00</w:t>
            </w:r>
          </w:p>
        </w:tc>
        <w:tc>
          <w:tcPr/>
          <w:p>
            <w:pPr>
              <w:pStyle w:val="Compact"/>
            </w:pPr>
            <w:r>
              <w:t xml:space="preserve">-700.00</w:t>
            </w:r>
          </w:p>
        </w:tc>
        <w:tc>
          <w:tcPr/>
          <w:p>
            <w:pPr>
              <w:pStyle w:val="Compact"/>
            </w:pPr>
            <w:r>
              <w:t xml:space="preserve">-2.66</w:t>
            </w:r>
          </w:p>
        </w:tc>
        <w:tc>
          <w:tcPr/>
          <w:p>
            <w:pPr>
              <w:pStyle w:val="Compact"/>
            </w:pPr>
            <w:r>
              <w:t xml:space="preserve">-3.07</w:t>
            </w:r>
          </w:p>
        </w:tc>
        <w:tc>
          <w:tcPr/>
          <w:p>
            <w:pPr>
              <w:pStyle w:val="Compact"/>
            </w:pPr>
            <w:r>
              <w:t xml:space="preserve">0.13</w:t>
            </w:r>
          </w:p>
        </w:tc>
        <w:tc>
          <w:tcPr/>
          <w:p>
            <w:pPr>
              <w:pStyle w:val="Compact"/>
            </w:pPr>
            <w:r>
              <w:t xml:space="preserve">-0.00</w:t>
            </w:r>
          </w:p>
        </w:tc>
      </w:tr>
      <w:tr>
        <w:tc>
          <w:tcPr/>
          <w:p>
            <w:pPr>
              <w:pStyle w:val="Compact"/>
            </w:pPr>
            <w:r>
              <w:t xml:space="preserve">2025_Q2</w:t>
            </w:r>
          </w:p>
        </w:tc>
        <w:tc>
          <w:tcPr/>
          <w:p>
            <w:pPr>
              <w:pStyle w:val="Compact"/>
            </w:pPr>
            <w:r>
              <w:t xml:space="preserve">XAU</w:t>
            </w:r>
          </w:p>
        </w:tc>
        <w:tc>
          <w:tcPr/>
          <w:p>
            <w:pPr>
              <w:pStyle w:val="Compact"/>
            </w:pPr>
            <w:r>
              <w:t xml:space="preserve">0.67</w:t>
            </w:r>
          </w:p>
        </w:tc>
        <w:tc>
          <w:tcPr/>
          <w:p>
            <w:pPr>
              <w:pStyle w:val="Compact"/>
            </w:pPr>
            <w:r>
              <w:t xml:space="preserve">0.55</w:t>
            </w:r>
          </w:p>
        </w:tc>
        <w:tc>
          <w:tcPr/>
          <w:p>
            <w:pPr>
              <w:pStyle w:val="Compact"/>
            </w:pPr>
            <w:r>
              <w:t xml:space="preserve">12753.10</w:t>
            </w:r>
          </w:p>
        </w:tc>
        <w:tc>
          <w:tcPr/>
          <w:p>
            <w:pPr>
              <w:pStyle w:val="Compact"/>
            </w:pPr>
            <w:r>
              <w:t xml:space="preserve">10443.10</w:t>
            </w:r>
          </w:p>
        </w:tc>
        <w:tc>
          <w:tcPr/>
          <w:p>
            <w:pPr>
              <w:pStyle w:val="Compact"/>
            </w:pPr>
            <w:r>
              <w:t xml:space="preserve">2.30</w:t>
            </w:r>
          </w:p>
        </w:tc>
        <w:tc>
          <w:tcPr/>
          <w:p>
            <w:pPr>
              <w:pStyle w:val="Compact"/>
            </w:pPr>
            <w:r>
              <w:t xml:space="preserve">1.79</w:t>
            </w:r>
          </w:p>
        </w:tc>
        <w:tc>
          <w:tcPr/>
          <w:p>
            <w:pPr>
              <w:pStyle w:val="Compact"/>
            </w:pPr>
            <w:r>
              <w:t xml:space="preserve">1.69</w:t>
            </w:r>
          </w:p>
        </w:tc>
        <w:tc>
          <w:tcPr/>
          <w:p>
            <w:pPr>
              <w:pStyle w:val="Compact"/>
            </w:pPr>
            <w:r>
              <w:t xml:space="preserve">0.11</w:t>
            </w:r>
          </w:p>
        </w:tc>
      </w:tr>
      <w:tr>
        <w:tc>
          <w:tcPr/>
          <w:p>
            <w:pPr>
              <w:pStyle w:val="Compact"/>
            </w:pPr>
            <w:r>
              <w:t xml:space="preserve">2025_Q3</w:t>
            </w:r>
          </w:p>
        </w:tc>
        <w:tc>
          <w:tcPr/>
          <w:p>
            <w:pPr>
              <w:pStyle w:val="Compact"/>
            </w:pPr>
            <w:r>
              <w:t xml:space="preserve">XAG</w:t>
            </w:r>
          </w:p>
        </w:tc>
        <w:tc>
          <w:tcPr/>
          <w:p>
            <w:pPr>
              <w:pStyle w:val="Compact"/>
            </w:pPr>
            <w:r>
              <w:t xml:space="preserve">0.16</w:t>
            </w:r>
          </w:p>
        </w:tc>
        <w:tc>
          <w:tcPr/>
          <w:p>
            <w:pPr>
              <w:pStyle w:val="Compact"/>
            </w:pPr>
            <w:r>
              <w:t xml:space="preserve">0.06</w:t>
            </w:r>
          </w:p>
        </w:tc>
        <w:tc>
          <w:tcPr/>
          <w:p>
            <w:pPr>
              <w:pStyle w:val="Compact"/>
            </w:pPr>
            <w:r>
              <w:t xml:space="preserve">280.00</w:t>
            </w:r>
          </w:p>
        </w:tc>
        <w:tc>
          <w:tcPr/>
          <w:p>
            <w:pPr>
              <w:pStyle w:val="Compact"/>
            </w:pPr>
            <w:r>
              <w:t xml:space="preserve">100.00</w:t>
            </w:r>
          </w:p>
        </w:tc>
        <w:tc>
          <w:tcPr/>
          <w:p>
            <w:pPr>
              <w:pStyle w:val="Compact"/>
            </w:pPr>
            <w:r>
              <w:t xml:space="preserve">0.36</w:t>
            </w:r>
          </w:p>
        </w:tc>
        <w:tc>
          <w:tcPr/>
          <w:p>
            <w:pPr>
              <w:pStyle w:val="Compact"/>
            </w:pPr>
            <w:r>
              <w:t xml:space="preserve">0.13</w:t>
            </w:r>
          </w:p>
        </w:tc>
        <w:tc>
          <w:tcPr/>
          <w:p>
            <w:pPr>
              <w:pStyle w:val="Compact"/>
            </w:pPr>
            <w:r>
              <w:t xml:space="preserve">0.20</w:t>
            </w:r>
          </w:p>
        </w:tc>
        <w:tc>
          <w:tcPr/>
          <w:p>
            <w:pPr>
              <w:pStyle w:val="Compact"/>
            </w:pPr>
            <w:r>
              <w:t xml:space="preserve">-0.00</w:t>
            </w:r>
          </w:p>
        </w:tc>
      </w:tr>
      <w:tr>
        <w:tc>
          <w:tcPr/>
          <w:p>
            <w:pPr>
              <w:pStyle w:val="Compact"/>
            </w:pPr>
            <w:r>
              <w:t xml:space="preserve">2025_Q3</w:t>
            </w:r>
          </w:p>
        </w:tc>
        <w:tc>
          <w:tcPr/>
          <w:p>
            <w:pPr>
              <w:pStyle w:val="Compact"/>
            </w:pPr>
            <w:r>
              <w:t xml:space="preserve">XAU</w:t>
            </w:r>
          </w:p>
        </w:tc>
        <w:tc>
          <w:tcPr/>
          <w:p>
            <w:pPr>
              <w:pStyle w:val="Compact"/>
            </w:pPr>
            <w:r>
              <w:t xml:space="preserve">-0.25</w:t>
            </w:r>
          </w:p>
        </w:tc>
        <w:tc>
          <w:tcPr/>
          <w:p>
            <w:pPr>
              <w:pStyle w:val="Compact"/>
            </w:pPr>
            <w:r>
              <w:t xml:space="preserve">-0.43</w:t>
            </w:r>
          </w:p>
        </w:tc>
        <w:tc>
          <w:tcPr/>
          <w:p>
            <w:pPr>
              <w:pStyle w:val="Compact"/>
            </w:pPr>
            <w:r>
              <w:t xml:space="preserve">-3306.20</w:t>
            </w:r>
          </w:p>
        </w:tc>
        <w:tc>
          <w:tcPr/>
          <w:p>
            <w:pPr>
              <w:pStyle w:val="Compact"/>
            </w:pPr>
            <w:r>
              <w:t xml:space="preserve">-5661.20</w:t>
            </w:r>
          </w:p>
        </w:tc>
        <w:tc>
          <w:tcPr/>
          <w:p>
            <w:pPr>
              <w:pStyle w:val="Compact"/>
            </w:pPr>
            <w:r>
              <w:t xml:space="preserve">-0.64</w:t>
            </w:r>
          </w:p>
        </w:tc>
        <w:tc>
          <w:tcPr/>
          <w:p>
            <w:pPr>
              <w:pStyle w:val="Compact"/>
            </w:pPr>
            <w:r>
              <w:t xml:space="preserve">-1.02</w:t>
            </w:r>
          </w:p>
        </w:tc>
        <w:tc>
          <w:tcPr/>
          <w:p>
            <w:pPr>
              <w:pStyle w:val="Compact"/>
            </w:pPr>
            <w:r>
              <w:t xml:space="preserve">1.71</w:t>
            </w:r>
          </w:p>
        </w:tc>
        <w:tc>
          <w:tcPr/>
          <w:p>
            <w:pPr>
              <w:pStyle w:val="Compact"/>
            </w:pPr>
            <w:r>
              <w:t xml:space="preserve">-1.62</w:t>
            </w:r>
          </w:p>
        </w:tc>
      </w:tr>
      <w:tr>
        <w:tc>
          <w:tcPr/>
          <w:p>
            <w:pPr>
              <w:pStyle w:val="Compact"/>
            </w:pPr>
            <w:r>
              <w:t xml:space="preserve">2025_Q4</w:t>
            </w:r>
          </w:p>
        </w:tc>
        <w:tc>
          <w:tcPr/>
          <w:p>
            <w:pPr>
              <w:pStyle w:val="Compact"/>
            </w:pPr>
            <w:r>
              <w:t xml:space="preserve">XAG</w:t>
            </w:r>
          </w:p>
        </w:tc>
        <w:tc>
          <w:tcPr/>
          <w:p>
            <w:pPr>
              <w:pStyle w:val="Compact"/>
            </w:pPr>
            <w:r>
              <w:t xml:space="preserve">1.71</w:t>
            </w:r>
          </w:p>
        </w:tc>
        <w:tc>
          <w:tcPr/>
          <w:p>
            <w:pPr>
              <w:pStyle w:val="Compact"/>
            </w:pPr>
            <w:r>
              <w:t xml:space="preserve">1.53</w:t>
            </w:r>
          </w:p>
        </w:tc>
        <w:tc>
          <w:tcPr/>
          <w:p>
            <w:pPr>
              <w:pStyle w:val="Compact"/>
            </w:pPr>
            <w:r>
              <w:t xml:space="preserve">1420.00</w:t>
            </w:r>
          </w:p>
        </w:tc>
        <w:tc>
          <w:tcPr/>
          <w:p>
            <w:pPr>
              <w:pStyle w:val="Compact"/>
            </w:pPr>
            <w:r>
              <w:t xml:space="preserve">1260.00</w:t>
            </w:r>
          </w:p>
        </w:tc>
        <w:tc>
          <w:tcPr/>
          <w:p>
            <w:pPr>
              <w:pStyle w:val="Compact"/>
            </w:pPr>
            <w:r>
              <w:t xml:space="preserve">2.87</w:t>
            </w:r>
          </w:p>
        </w:tc>
        <w:tc>
          <w:tcPr/>
          <w:p>
            <w:pPr>
              <w:pStyle w:val="Compact"/>
            </w:pPr>
            <w:r>
              <w:t xml:space="preserve">2.51</w:t>
            </w:r>
          </w:p>
        </w:tc>
        <w:tc>
          <w:tcPr/>
          <w:p>
            <w:pPr>
              <w:pStyle w:val="Compact"/>
            </w:pPr>
            <w:r>
              <w:t xml:space="preserve">0.53</w:t>
            </w:r>
          </w:p>
        </w:tc>
        <w:tc>
          <w:tcPr/>
          <w:p>
            <w:pPr>
              <w:pStyle w:val="Compact"/>
            </w:pPr>
            <w:r>
              <w:t xml:space="preserve">0.24</w:t>
            </w:r>
          </w:p>
        </w:tc>
      </w:tr>
      <w:tr>
        <w:tc>
          <w:tcPr/>
          <w:p>
            <w:pPr>
              <w:pStyle w:val="Compact"/>
            </w:pPr>
            <w:r>
              <w:t xml:space="preserve">2025_Q4</w:t>
            </w:r>
          </w:p>
        </w:tc>
        <w:tc>
          <w:tcPr/>
          <w:p>
            <w:pPr>
              <w:pStyle w:val="Compact"/>
            </w:pPr>
            <w:r>
              <w:t xml:space="preserve">XAU</w:t>
            </w:r>
          </w:p>
        </w:tc>
        <w:tc>
          <w:tcPr/>
          <w:p>
            <w:pPr>
              <w:pStyle w:val="Compact"/>
            </w:pPr>
            <w:r>
              <w:t xml:space="preserve">2.53</w:t>
            </w:r>
          </w:p>
        </w:tc>
        <w:tc>
          <w:tcPr/>
          <w:p>
            <w:pPr>
              <w:pStyle w:val="Compact"/>
            </w:pPr>
            <w:r>
              <w:t xml:space="preserve">2.43</w:t>
            </w:r>
          </w:p>
        </w:tc>
        <w:tc>
          <w:tcPr/>
          <w:p>
            <w:pPr>
              <w:pStyle w:val="Compact"/>
            </w:pPr>
            <w:r>
              <w:t xml:space="preserve">21825.00</w:t>
            </w:r>
          </w:p>
        </w:tc>
        <w:tc>
          <w:tcPr/>
          <w:p>
            <w:pPr>
              <w:pStyle w:val="Compact"/>
            </w:pPr>
            <w:r>
              <w:t xml:space="preserve">21000.00</w:t>
            </w:r>
          </w:p>
        </w:tc>
        <w:tc>
          <w:tcPr/>
          <w:p>
            <w:pPr>
              <w:pStyle w:val="Compact"/>
            </w:pPr>
            <w:r>
              <w:t xml:space="preserve">5.73</w:t>
            </w:r>
          </w:p>
        </w:tc>
        <w:tc>
          <w:tcPr/>
          <w:p>
            <w:pPr>
              <w:pStyle w:val="Compact"/>
            </w:pPr>
            <w:r>
              <w:t xml:space="preserve">5.47</w:t>
            </w:r>
          </w:p>
        </w:tc>
        <w:tc>
          <w:tcPr/>
          <w:p>
            <w:pPr>
              <w:pStyle w:val="Compact"/>
            </w:pPr>
            <w:r>
              <w:t xml:space="preserve">1.83</w:t>
            </w:r>
          </w:p>
        </w:tc>
        <w:tc>
          <w:tcPr/>
          <w:p>
            <w:pPr>
              <w:pStyle w:val="Compact"/>
            </w:pPr>
            <w:r>
              <w:t xml:space="preserve">5.89</w:t>
            </w:r>
          </w:p>
        </w:tc>
      </w:tr>
    </w:tbl>
    <w:bookmarkEnd w:id="83"/>
    <w:p>
      <w:pPr>
        <w:pStyle w:val="BodyText"/>
      </w:pPr>
      <w:r>
        <w:t xml:space="preserve">The results highlight a distinct division of labor. Gold (XAU) acts as the primary profit engine, trading frequently with a high standard deviation but capturing the largest trends. Silver (XAG) acts as a diversifier; the strict US-session filter results in very low trade frequency (often &lt; 0.2 trades/day), which preserves capital during choppy quarters while still participating in major volatility events.</w:t>
      </w:r>
    </w:p>
    <w:bookmarkEnd w:id="84"/>
    <w:bookmarkStart w:id="137" w:name="equity-lines"/>
    <w:p>
      <w:pPr>
        <w:pStyle w:val="Heading2"/>
      </w:pPr>
      <w:r>
        <w:t xml:space="preserve">Equity lines</w:t>
      </w:r>
    </w:p>
    <w:bookmarkStart w:id="88" w:name="q1"/>
    <w:p>
      <w:pPr>
        <w:pStyle w:val="Heading3"/>
      </w:pPr>
      <w:r>
        <w:t xml:space="preserve">2023Q1</w:t>
      </w:r>
    </w:p>
    <w:p>
      <w:pPr>
        <w:pStyle w:val="FirstParagraph"/>
      </w:pPr>
      <w:r>
        <w:drawing>
          <wp:inline>
            <wp:extent cx="5334000" cy="2888681"/>
            <wp:effectExtent b="0" l="0" r="0" t="0"/>
            <wp:docPr descr="" title="" id="86" name="Picture"/>
            <a:graphic>
              <a:graphicData uri="http://schemas.openxmlformats.org/drawingml/2006/picture">
                <pic:pic>
                  <pic:nvPicPr>
                    <pic:cNvPr descr="final_report_word_files/figure-docx/cell-7-output-1.png" id="87" name="Picture"/>
                    <pic:cNvPicPr>
                      <a:picLocks noChangeArrowheads="1" noChangeAspect="1"/>
                    </pic:cNvPicPr>
                  </pic:nvPicPr>
                  <pic:blipFill>
                    <a:blip r:embed="rId85"/>
                    <a:stretch>
                      <a:fillRect/>
                    </a:stretch>
                  </pic:blipFill>
                  <pic:spPr bwMode="auto">
                    <a:xfrm>
                      <a:off x="0" y="0"/>
                      <a:ext cx="5334000" cy="2888681"/>
                    </a:xfrm>
                    <a:prstGeom prst="rect">
                      <a:avLst/>
                    </a:prstGeom>
                    <a:noFill/>
                    <a:ln w="9525">
                      <a:noFill/>
                      <a:headEnd/>
                      <a:tailEnd/>
                    </a:ln>
                  </pic:spPr>
                </pic:pic>
              </a:graphicData>
            </a:graphic>
          </wp:inline>
        </w:drawing>
      </w:r>
    </w:p>
    <w:p>
      <w:pPr>
        <w:pStyle w:val="BodyText"/>
      </w:pPr>
      <w:r>
        <w:rPr>
          <w:b/>
          <w:bCs/>
        </w:rPr>
        <w:t xml:space="preserve">Comment</w:t>
      </w:r>
      <w:r>
        <w:t xml:space="preserve">: A challenging quarter to start. The portfolio experienced a V-shaped drawdown driven by Gold’s whipsaws in February. However, the Silver strategy’s session filter worked as intended, keeping it flat and preventing the drawdown from deepening further.</w:t>
      </w:r>
    </w:p>
    <w:bookmarkEnd w:id="88"/>
    <w:bookmarkStart w:id="92" w:name="q2---out-of-sample"/>
    <w:p>
      <w:pPr>
        <w:pStyle w:val="Heading3"/>
      </w:pPr>
      <w:r>
        <w:t xml:space="preserve">2023Q2 - out of sample</w:t>
      </w:r>
    </w:p>
    <w:p>
      <w:pPr>
        <w:pStyle w:val="FirstParagraph"/>
      </w:pPr>
      <w:r>
        <w:drawing>
          <wp:inline>
            <wp:extent cx="5334000" cy="2888681"/>
            <wp:effectExtent b="0" l="0" r="0" t="0"/>
            <wp:docPr descr="" title="" id="90" name="Picture"/>
            <a:graphic>
              <a:graphicData uri="http://schemas.openxmlformats.org/drawingml/2006/picture">
                <pic:pic>
                  <pic:nvPicPr>
                    <pic:cNvPr descr="final_report_word_files/figure-docx/cell-8-output-1.png" id="91" name="Picture"/>
                    <pic:cNvPicPr>
                      <a:picLocks noChangeArrowheads="1" noChangeAspect="1"/>
                    </pic:cNvPicPr>
                  </pic:nvPicPr>
                  <pic:blipFill>
                    <a:blip r:embed="rId89"/>
                    <a:stretch>
                      <a:fillRect/>
                    </a:stretch>
                  </pic:blipFill>
                  <pic:spPr bwMode="auto">
                    <a:xfrm>
                      <a:off x="0" y="0"/>
                      <a:ext cx="5334000" cy="2888681"/>
                    </a:xfrm>
                    <a:prstGeom prst="rect">
                      <a:avLst/>
                    </a:prstGeom>
                    <a:noFill/>
                    <a:ln w="9525">
                      <a:noFill/>
                      <a:headEnd/>
                      <a:tailEnd/>
                    </a:ln>
                  </pic:spPr>
                </pic:pic>
              </a:graphicData>
            </a:graphic>
          </wp:inline>
        </w:drawing>
      </w:r>
    </w:p>
    <w:p>
      <w:pPr>
        <w:pStyle w:val="BodyText"/>
      </w:pPr>
      <w:r>
        <w:rPr>
          <w:b/>
          <w:bCs/>
        </w:rPr>
        <w:t xml:space="preserve">Comment</w:t>
      </w:r>
      <w:r>
        <w:t xml:space="preserve">: A difficult quarter characterized by persistent chopping. The strategy entered a drawdown early in April and struggled to recover as the market lacked sustained direction. The downward drift suggests that the</w:t>
      </w:r>
      <w:r>
        <w:t xml:space="preserve"> </w:t>
      </w:r>
      <w:r>
        <w:t xml:space="preserve">“breakout”</w:t>
      </w:r>
      <w:r>
        <w:t xml:space="preserve"> </w:t>
      </w:r>
      <w:r>
        <w:t xml:space="preserve">logic was frequently triggered by false moves that reversed before gaining traction.</w:t>
      </w:r>
    </w:p>
    <w:bookmarkEnd w:id="92"/>
    <w:bookmarkStart w:id="96" w:name="q3"/>
    <w:p>
      <w:pPr>
        <w:pStyle w:val="Heading3"/>
      </w:pPr>
      <w:r>
        <w:t xml:space="preserve">2023Q3</w:t>
      </w:r>
    </w:p>
    <w:p>
      <w:pPr>
        <w:pStyle w:val="FirstParagraph"/>
      </w:pPr>
      <w:r>
        <w:drawing>
          <wp:inline>
            <wp:extent cx="5334000" cy="2886835"/>
            <wp:effectExtent b="0" l="0" r="0" t="0"/>
            <wp:docPr descr="" title="" id="94" name="Picture"/>
            <a:graphic>
              <a:graphicData uri="http://schemas.openxmlformats.org/drawingml/2006/picture">
                <pic:pic>
                  <pic:nvPicPr>
                    <pic:cNvPr descr="final_report_word_files/figure-docx/cell-9-output-1.png" id="95" name="Picture"/>
                    <pic:cNvPicPr>
                      <a:picLocks noChangeArrowheads="1" noChangeAspect="1"/>
                    </pic:cNvPicPr>
                  </pic:nvPicPr>
                  <pic:blipFill>
                    <a:blip r:embed="rId93"/>
                    <a:stretch>
                      <a:fillRect/>
                    </a:stretch>
                  </pic:blipFill>
                  <pic:spPr bwMode="auto">
                    <a:xfrm>
                      <a:off x="0" y="0"/>
                      <a:ext cx="5334000" cy="2886835"/>
                    </a:xfrm>
                    <a:prstGeom prst="rect">
                      <a:avLst/>
                    </a:prstGeom>
                    <a:noFill/>
                    <a:ln w="9525">
                      <a:noFill/>
                      <a:headEnd/>
                      <a:tailEnd/>
                    </a:ln>
                  </pic:spPr>
                </pic:pic>
              </a:graphicData>
            </a:graphic>
          </wp:inline>
        </w:drawing>
      </w:r>
    </w:p>
    <w:p>
      <w:pPr>
        <w:pStyle w:val="BodyText"/>
      </w:pPr>
      <w:r>
        <w:rPr>
          <w:b/>
          <w:bCs/>
        </w:rPr>
        <w:t xml:space="preserve">Comment</w:t>
      </w:r>
      <w:r>
        <w:t xml:space="preserve">: A solid recovery period. Both metals contributed positively, with the strategy successfully capturing a late-quarter trend. The net equity curve shows a steady, low-volatility climb, indicating the volatility filter successfully screened out the mid-quarter noise.</w:t>
      </w:r>
    </w:p>
    <w:bookmarkEnd w:id="96"/>
    <w:bookmarkStart w:id="100" w:name="q4"/>
    <w:p>
      <w:pPr>
        <w:pStyle w:val="Heading3"/>
      </w:pPr>
      <w:r>
        <w:t xml:space="preserve">2023Q4</w:t>
      </w:r>
    </w:p>
    <w:p>
      <w:pPr>
        <w:pStyle w:val="FirstParagraph"/>
      </w:pPr>
      <w:r>
        <w:drawing>
          <wp:inline>
            <wp:extent cx="5334000" cy="2860334"/>
            <wp:effectExtent b="0" l="0" r="0" t="0"/>
            <wp:docPr descr="" title="" id="98" name="Picture"/>
            <a:graphic>
              <a:graphicData uri="http://schemas.openxmlformats.org/drawingml/2006/picture">
                <pic:pic>
                  <pic:nvPicPr>
                    <pic:cNvPr descr="final_report_word_files/figure-docx/cell-10-output-1.png" id="99" name="Picture"/>
                    <pic:cNvPicPr>
                      <a:picLocks noChangeArrowheads="1" noChangeAspect="1"/>
                    </pic:cNvPicPr>
                  </pic:nvPicPr>
                  <pic:blipFill>
                    <a:blip r:embed="rId97"/>
                    <a:stretch>
                      <a:fillRect/>
                    </a:stretch>
                  </pic:blipFill>
                  <pic:spPr bwMode="auto">
                    <a:xfrm>
                      <a:off x="0" y="0"/>
                      <a:ext cx="5334000" cy="2860334"/>
                    </a:xfrm>
                    <a:prstGeom prst="rect">
                      <a:avLst/>
                    </a:prstGeom>
                    <a:noFill/>
                    <a:ln w="9525">
                      <a:noFill/>
                      <a:headEnd/>
                      <a:tailEnd/>
                    </a:ln>
                  </pic:spPr>
                </pic:pic>
              </a:graphicData>
            </a:graphic>
          </wp:inline>
        </w:drawing>
      </w:r>
    </w:p>
    <w:p>
      <w:pPr>
        <w:pStyle w:val="BodyText"/>
      </w:pPr>
      <w:r>
        <w:rPr>
          <w:b/>
          <w:bCs/>
        </w:rPr>
        <w:t xml:space="preserve">Comment</w:t>
      </w:r>
      <w:r>
        <w:t xml:space="preserve">: Strong performance driven primarily by Gold. The 24-hour breakout logic allowed the portfolio to hold a long position through overnight volatility, capturing a major multi-week trend that shorter-term strategies would have exited prematurely.</w:t>
      </w:r>
    </w:p>
    <w:bookmarkEnd w:id="100"/>
    <w:bookmarkStart w:id="104" w:name="q1---out-of-sample"/>
    <w:p>
      <w:pPr>
        <w:pStyle w:val="Heading3"/>
      </w:pPr>
      <w:r>
        <w:t xml:space="preserve">2024Q1 - out of sample</w:t>
      </w:r>
    </w:p>
    <w:p>
      <w:pPr>
        <w:pStyle w:val="FirstParagraph"/>
      </w:pPr>
      <w:r>
        <w:drawing>
          <wp:inline>
            <wp:extent cx="5334000" cy="2910079"/>
            <wp:effectExtent b="0" l="0" r="0" t="0"/>
            <wp:docPr descr="" title="" id="102" name="Picture"/>
            <a:graphic>
              <a:graphicData uri="http://schemas.openxmlformats.org/drawingml/2006/picture">
                <pic:pic>
                  <pic:nvPicPr>
                    <pic:cNvPr descr="final_report_word_files/figure-docx/cell-11-output-1.png" id="103" name="Picture"/>
                    <pic:cNvPicPr>
                      <a:picLocks noChangeArrowheads="1" noChangeAspect="1"/>
                    </pic:cNvPicPr>
                  </pic:nvPicPr>
                  <pic:blipFill>
                    <a:blip r:embed="rId101"/>
                    <a:stretch>
                      <a:fillRect/>
                    </a:stretch>
                  </pic:blipFill>
                  <pic:spPr bwMode="auto">
                    <a:xfrm>
                      <a:off x="0" y="0"/>
                      <a:ext cx="5334000" cy="2910079"/>
                    </a:xfrm>
                    <a:prstGeom prst="rect">
                      <a:avLst/>
                    </a:prstGeom>
                    <a:noFill/>
                    <a:ln w="9525">
                      <a:noFill/>
                      <a:headEnd/>
                      <a:tailEnd/>
                    </a:ln>
                  </pic:spPr>
                </pic:pic>
              </a:graphicData>
            </a:graphic>
          </wp:inline>
        </w:drawing>
      </w:r>
    </w:p>
    <w:p>
      <w:pPr>
        <w:pStyle w:val="BodyText"/>
      </w:pPr>
      <w:r>
        <w:rPr>
          <w:b/>
          <w:bCs/>
        </w:rPr>
        <w:t xml:space="preserve">Comment</w:t>
      </w:r>
      <w:r>
        <w:t xml:space="preserve">: The quarter began with a drawdown in January and February, consistent with low-volatility consolidation. However, a strong recovery trend emerged in March, allowing the strategy to claw back losses and finish the quarter with a significantly improved equity curve, validating the</w:t>
      </w:r>
      <w:r>
        <w:t xml:space="preserve"> </w:t>
      </w:r>
      <w:r>
        <w:t xml:space="preserve">“hold for the big move”</w:t>
      </w:r>
      <w:r>
        <w:t xml:space="preserve"> </w:t>
      </w:r>
      <w:r>
        <w:t xml:space="preserve">philosophy.</w:t>
      </w:r>
    </w:p>
    <w:bookmarkEnd w:id="104"/>
    <w:bookmarkStart w:id="108" w:name="q2"/>
    <w:p>
      <w:pPr>
        <w:pStyle w:val="Heading3"/>
      </w:pPr>
      <w:r>
        <w:t xml:space="preserve">2024Q2</w:t>
      </w:r>
    </w:p>
    <w:p>
      <w:pPr>
        <w:pStyle w:val="FirstParagraph"/>
      </w:pPr>
      <w:r>
        <w:drawing>
          <wp:inline>
            <wp:extent cx="5334000" cy="2910079"/>
            <wp:effectExtent b="0" l="0" r="0" t="0"/>
            <wp:docPr descr="" title="" id="106" name="Picture"/>
            <a:graphic>
              <a:graphicData uri="http://schemas.openxmlformats.org/drawingml/2006/picture">
                <pic:pic>
                  <pic:nvPicPr>
                    <pic:cNvPr descr="final_report_word_files/figure-docx/cell-12-output-1.png" id="107" name="Picture"/>
                    <pic:cNvPicPr>
                      <a:picLocks noChangeArrowheads="1" noChangeAspect="1"/>
                    </pic:cNvPicPr>
                  </pic:nvPicPr>
                  <pic:blipFill>
                    <a:blip r:embed="rId105"/>
                    <a:stretch>
                      <a:fillRect/>
                    </a:stretch>
                  </pic:blipFill>
                  <pic:spPr bwMode="auto">
                    <a:xfrm>
                      <a:off x="0" y="0"/>
                      <a:ext cx="5334000" cy="2910079"/>
                    </a:xfrm>
                    <a:prstGeom prst="rect">
                      <a:avLst/>
                    </a:prstGeom>
                    <a:noFill/>
                    <a:ln w="9525">
                      <a:noFill/>
                      <a:headEnd/>
                      <a:tailEnd/>
                    </a:ln>
                  </pic:spPr>
                </pic:pic>
              </a:graphicData>
            </a:graphic>
          </wp:inline>
        </w:drawing>
      </w:r>
    </w:p>
    <w:p>
      <w:pPr>
        <w:pStyle w:val="BodyText"/>
      </w:pPr>
      <w:r>
        <w:rPr>
          <w:b/>
          <w:bCs/>
        </w:rPr>
        <w:t xml:space="preserve">Comment</w:t>
      </w:r>
      <w:r>
        <w:t xml:space="preserve">: A prime example of portfolio synergy. While Gold struggled with choppy price action (resulting in a drawdown), Silver decoupled and generated significant profit during the US session windows, effectively stabilizing the portfolio’s overall Net PnL.</w:t>
      </w:r>
    </w:p>
    <w:bookmarkEnd w:id="108"/>
    <w:bookmarkStart w:id="112" w:name="q3---out-of-sample"/>
    <w:p>
      <w:pPr>
        <w:pStyle w:val="Heading3"/>
      </w:pPr>
      <w:r>
        <w:t xml:space="preserve">2024Q3 - out of sample</w:t>
      </w:r>
    </w:p>
    <w:p>
      <w:pPr>
        <w:pStyle w:val="FirstParagraph"/>
      </w:pPr>
      <w:r>
        <w:drawing>
          <wp:inline>
            <wp:extent cx="5334000" cy="2943256"/>
            <wp:effectExtent b="0" l="0" r="0" t="0"/>
            <wp:docPr descr="" title="" id="110" name="Picture"/>
            <a:graphic>
              <a:graphicData uri="http://schemas.openxmlformats.org/drawingml/2006/picture">
                <pic:pic>
                  <pic:nvPicPr>
                    <pic:cNvPr descr="final_report_word_files/figure-docx/cell-13-output-1.png" id="111" name="Picture"/>
                    <pic:cNvPicPr>
                      <a:picLocks noChangeArrowheads="1" noChangeAspect="1"/>
                    </pic:cNvPicPr>
                  </pic:nvPicPr>
                  <pic:blipFill>
                    <a:blip r:embed="rId109"/>
                    <a:stretch>
                      <a:fillRect/>
                    </a:stretch>
                  </pic:blipFill>
                  <pic:spPr bwMode="auto">
                    <a:xfrm>
                      <a:off x="0" y="0"/>
                      <a:ext cx="5334000" cy="2943256"/>
                    </a:xfrm>
                    <a:prstGeom prst="rect">
                      <a:avLst/>
                    </a:prstGeom>
                    <a:noFill/>
                    <a:ln w="9525">
                      <a:noFill/>
                      <a:headEnd/>
                      <a:tailEnd/>
                    </a:ln>
                  </pic:spPr>
                </pic:pic>
              </a:graphicData>
            </a:graphic>
          </wp:inline>
        </w:drawing>
      </w:r>
    </w:p>
    <w:p>
      <w:pPr>
        <w:pStyle w:val="BodyText"/>
      </w:pPr>
      <w:r>
        <w:rPr>
          <w:b/>
          <w:bCs/>
        </w:rPr>
        <w:t xml:space="preserve">Comment</w:t>
      </w:r>
      <w:r>
        <w:t xml:space="preserve">: After a slow start in July, the portfolio captured a clean, sustained uptrend beginning in August. The steady upward slope with minimal retracement indicates a high-quality trend where both the entry logic and the volatility filter were perfectly aligned with market conditions.</w:t>
      </w:r>
    </w:p>
    <w:bookmarkEnd w:id="112"/>
    <w:bookmarkStart w:id="116" w:name="q4-1"/>
    <w:p>
      <w:pPr>
        <w:pStyle w:val="Heading3"/>
      </w:pPr>
      <w:r>
        <w:t xml:space="preserve">2024Q4</w:t>
      </w:r>
    </w:p>
    <w:p>
      <w:pPr>
        <w:pStyle w:val="FirstParagraph"/>
      </w:pPr>
      <w:r>
        <w:drawing>
          <wp:inline>
            <wp:extent cx="5334000" cy="2914772"/>
            <wp:effectExtent b="0" l="0" r="0" t="0"/>
            <wp:docPr descr="" title="" id="114" name="Picture"/>
            <a:graphic>
              <a:graphicData uri="http://schemas.openxmlformats.org/drawingml/2006/picture">
                <pic:pic>
                  <pic:nvPicPr>
                    <pic:cNvPr descr="final_report_word_files/figure-docx/cell-14-output-1.png" id="115" name="Picture"/>
                    <pic:cNvPicPr>
                      <a:picLocks noChangeArrowheads="1" noChangeAspect="1"/>
                    </pic:cNvPicPr>
                  </pic:nvPicPr>
                  <pic:blipFill>
                    <a:blip r:embed="rId113"/>
                    <a:stretch>
                      <a:fillRect/>
                    </a:stretch>
                  </pic:blipFill>
                  <pic:spPr bwMode="auto">
                    <a:xfrm>
                      <a:off x="0" y="0"/>
                      <a:ext cx="5334000" cy="2914772"/>
                    </a:xfrm>
                    <a:prstGeom prst="rect">
                      <a:avLst/>
                    </a:prstGeom>
                    <a:noFill/>
                    <a:ln w="9525">
                      <a:noFill/>
                      <a:headEnd/>
                      <a:tailEnd/>
                    </a:ln>
                  </pic:spPr>
                </pic:pic>
              </a:graphicData>
            </a:graphic>
          </wp:inline>
        </w:drawing>
      </w:r>
    </w:p>
    <w:p>
      <w:pPr>
        <w:pStyle w:val="BodyText"/>
      </w:pPr>
      <w:r>
        <w:rPr>
          <w:b/>
          <w:bCs/>
        </w:rPr>
        <w:t xml:space="preserve">Comment</w:t>
      </w:r>
      <w:r>
        <w:t xml:space="preserve">: Exceptional performance (Highest PnL). The portfolio capitalized on a massive, unidirectional trend in Gold. The gap between Gross and Net PnL is minimal here, proving that the strategy’s wide windows (288 bars) successfully minimize turnover costs during strong trending regimes.</w:t>
      </w:r>
    </w:p>
    <w:bookmarkEnd w:id="116"/>
    <w:bookmarkStart w:id="120" w:name="q1-1"/>
    <w:p>
      <w:pPr>
        <w:pStyle w:val="Heading3"/>
      </w:pPr>
      <w:r>
        <w:t xml:space="preserve">2025Q1</w:t>
      </w:r>
    </w:p>
    <w:p>
      <w:pPr>
        <w:pStyle w:val="FirstParagraph"/>
      </w:pPr>
      <w:r>
        <w:drawing>
          <wp:inline>
            <wp:extent cx="5334000" cy="2943256"/>
            <wp:effectExtent b="0" l="0" r="0" t="0"/>
            <wp:docPr descr="" title="" id="118" name="Picture"/>
            <a:graphic>
              <a:graphicData uri="http://schemas.openxmlformats.org/drawingml/2006/picture">
                <pic:pic>
                  <pic:nvPicPr>
                    <pic:cNvPr descr="final_report_word_files/figure-docx/cell-15-output-1.png" id="119" name="Picture"/>
                    <pic:cNvPicPr>
                      <a:picLocks noChangeArrowheads="1" noChangeAspect="1"/>
                    </pic:cNvPicPr>
                  </pic:nvPicPr>
                  <pic:blipFill>
                    <a:blip r:embed="rId117"/>
                    <a:stretch>
                      <a:fillRect/>
                    </a:stretch>
                  </pic:blipFill>
                  <pic:spPr bwMode="auto">
                    <a:xfrm>
                      <a:off x="0" y="0"/>
                      <a:ext cx="5334000" cy="2943256"/>
                    </a:xfrm>
                    <a:prstGeom prst="rect">
                      <a:avLst/>
                    </a:prstGeom>
                    <a:noFill/>
                    <a:ln w="9525">
                      <a:noFill/>
                      <a:headEnd/>
                      <a:tailEnd/>
                    </a:ln>
                  </pic:spPr>
                </pic:pic>
              </a:graphicData>
            </a:graphic>
          </wp:inline>
        </w:drawing>
      </w:r>
    </w:p>
    <w:p>
      <w:pPr>
        <w:pStyle w:val="BodyText"/>
      </w:pPr>
      <w:r>
        <w:rPr>
          <w:b/>
          <w:bCs/>
        </w:rPr>
        <w:t xml:space="preserve">Comment</w:t>
      </w:r>
      <w:r>
        <w:t xml:space="preserve">: A highly profitable but volatile quarter. After a strong initial trend in January, the strategy experienced a drawdown during a February correction, giving back open profits. However, the system successfully identified the trend resumption in March, recovering all losses and finishing the quarter near equity highs.</w:t>
      </w:r>
    </w:p>
    <w:bookmarkEnd w:id="120"/>
    <w:bookmarkStart w:id="124" w:name="q2-1"/>
    <w:p>
      <w:pPr>
        <w:pStyle w:val="Heading3"/>
      </w:pPr>
      <w:r>
        <w:t xml:space="preserve">2025Q2</w:t>
      </w:r>
    </w:p>
    <w:p>
      <w:pPr>
        <w:pStyle w:val="FirstParagraph"/>
      </w:pPr>
      <w:r>
        <w:drawing>
          <wp:inline>
            <wp:extent cx="5334000" cy="2910079"/>
            <wp:effectExtent b="0" l="0" r="0" t="0"/>
            <wp:docPr descr="" title="" id="122" name="Picture"/>
            <a:graphic>
              <a:graphicData uri="http://schemas.openxmlformats.org/drawingml/2006/picture">
                <pic:pic>
                  <pic:nvPicPr>
                    <pic:cNvPr descr="final_report_word_files/figure-docx/cell-16-output-1.png" id="123" name="Picture"/>
                    <pic:cNvPicPr>
                      <a:picLocks noChangeArrowheads="1" noChangeAspect="1"/>
                    </pic:cNvPicPr>
                  </pic:nvPicPr>
                  <pic:blipFill>
                    <a:blip r:embed="rId121"/>
                    <a:stretch>
                      <a:fillRect/>
                    </a:stretch>
                  </pic:blipFill>
                  <pic:spPr bwMode="auto">
                    <a:xfrm>
                      <a:off x="0" y="0"/>
                      <a:ext cx="5334000" cy="2910079"/>
                    </a:xfrm>
                    <a:prstGeom prst="rect">
                      <a:avLst/>
                    </a:prstGeom>
                    <a:noFill/>
                    <a:ln w="9525">
                      <a:noFill/>
                      <a:headEnd/>
                      <a:tailEnd/>
                    </a:ln>
                  </pic:spPr>
                </pic:pic>
              </a:graphicData>
            </a:graphic>
          </wp:inline>
        </w:drawing>
      </w:r>
    </w:p>
    <w:p>
      <w:pPr>
        <w:pStyle w:val="BodyText"/>
      </w:pPr>
      <w:r>
        <w:rPr>
          <w:b/>
          <w:bCs/>
        </w:rPr>
        <w:t xml:space="preserve">Comment</w:t>
      </w:r>
      <w:r>
        <w:t xml:space="preserve">: Profitable but volatile. The strategy captured early gains but gave back profits during a late-quarter reversal. The system correctly adhered to stops, preventing a catastrophic reversal, though the Sharpe ratio was impacted by the late volatility.</w:t>
      </w:r>
    </w:p>
    <w:bookmarkEnd w:id="124"/>
    <w:bookmarkStart w:id="128" w:name="q3---out-of-sample-1"/>
    <w:p>
      <w:pPr>
        <w:pStyle w:val="Heading3"/>
      </w:pPr>
      <w:r>
        <w:t xml:space="preserve">2025Q3 - out of sample</w:t>
      </w:r>
    </w:p>
    <w:p>
      <w:pPr>
        <w:pStyle w:val="FirstParagraph"/>
      </w:pPr>
      <w:r>
        <w:drawing>
          <wp:inline>
            <wp:extent cx="5334000" cy="2910079"/>
            <wp:effectExtent b="0" l="0" r="0" t="0"/>
            <wp:docPr descr="" title="" id="126" name="Picture"/>
            <a:graphic>
              <a:graphicData uri="http://schemas.openxmlformats.org/drawingml/2006/picture">
                <pic:pic>
                  <pic:nvPicPr>
                    <pic:cNvPr descr="final_report_word_files/figure-docx/cell-17-output-1.png" id="127" name="Picture"/>
                    <pic:cNvPicPr>
                      <a:picLocks noChangeArrowheads="1" noChangeAspect="1"/>
                    </pic:cNvPicPr>
                  </pic:nvPicPr>
                  <pic:blipFill>
                    <a:blip r:embed="rId125"/>
                    <a:stretch>
                      <a:fillRect/>
                    </a:stretch>
                  </pic:blipFill>
                  <pic:spPr bwMode="auto">
                    <a:xfrm>
                      <a:off x="0" y="0"/>
                      <a:ext cx="5334000" cy="2910079"/>
                    </a:xfrm>
                    <a:prstGeom prst="rect">
                      <a:avLst/>
                    </a:prstGeom>
                    <a:noFill/>
                    <a:ln w="9525">
                      <a:noFill/>
                      <a:headEnd/>
                      <a:tailEnd/>
                    </a:ln>
                  </pic:spPr>
                </pic:pic>
              </a:graphicData>
            </a:graphic>
          </wp:inline>
        </w:drawing>
      </w:r>
    </w:p>
    <w:p>
      <w:pPr>
        <w:pStyle w:val="BodyText"/>
      </w:pPr>
      <w:r>
        <w:rPr>
          <w:b/>
          <w:bCs/>
        </w:rPr>
        <w:t xml:space="preserve">Comment</w:t>
      </w:r>
      <w:r>
        <w:t xml:space="preserve">: A challenging, volatile period. The equity curve shows significant two-way action, with a deep drawdown in mid-August followed by a sharp recovery in late September. While the quarter ended negative, the late-stage recovery demonstrates the strategy’s ability to react quickly when volatility returns.</w:t>
      </w:r>
    </w:p>
    <w:bookmarkEnd w:id="128"/>
    <w:bookmarkStart w:id="132" w:name="q4---out-of-sample"/>
    <w:p>
      <w:pPr>
        <w:pStyle w:val="Heading3"/>
      </w:pPr>
      <w:r>
        <w:t xml:space="preserve">2025Q4 - out of sample</w:t>
      </w:r>
    </w:p>
    <w:p>
      <w:pPr>
        <w:pStyle w:val="FirstParagraph"/>
      </w:pPr>
      <w:r>
        <w:drawing>
          <wp:inline>
            <wp:extent cx="5334000" cy="2836094"/>
            <wp:effectExtent b="0" l="0" r="0" t="0"/>
            <wp:docPr descr="" title="" id="130" name="Picture"/>
            <a:graphic>
              <a:graphicData uri="http://schemas.openxmlformats.org/drawingml/2006/picture">
                <pic:pic>
                  <pic:nvPicPr>
                    <pic:cNvPr descr="final_report_word_files/figure-docx/cell-18-output-1.png" id="131" name="Picture"/>
                    <pic:cNvPicPr>
                      <a:picLocks noChangeArrowheads="1" noChangeAspect="1"/>
                    </pic:cNvPicPr>
                  </pic:nvPicPr>
                  <pic:blipFill>
                    <a:blip r:embed="rId129"/>
                    <a:stretch>
                      <a:fillRect/>
                    </a:stretch>
                  </pic:blipFill>
                  <pic:spPr bwMode="auto">
                    <a:xfrm>
                      <a:off x="0" y="0"/>
                      <a:ext cx="5334000" cy="2836094"/>
                    </a:xfrm>
                    <a:prstGeom prst="rect">
                      <a:avLst/>
                    </a:prstGeom>
                    <a:noFill/>
                    <a:ln w="9525">
                      <a:noFill/>
                      <a:headEnd/>
                      <a:tailEnd/>
                    </a:ln>
                  </pic:spPr>
                </pic:pic>
              </a:graphicData>
            </a:graphic>
          </wp:inline>
        </w:drawing>
      </w:r>
    </w:p>
    <w:p>
      <w:pPr>
        <w:pStyle w:val="BodyText"/>
      </w:pPr>
      <w:r>
        <w:rPr>
          <w:b/>
          <w:bCs/>
        </w:rPr>
        <w:t xml:space="preserve">Comment</w:t>
      </w:r>
      <w:r>
        <w:t xml:space="preserve"> </w:t>
      </w:r>
      <w:r>
        <w:t xml:space="preserve">This quarter behaved similarly to 2024 Q4, with an immediate and sustained explosive trend. The strategy entered early in October and rode the momentum through the entire month, generating substantial profits ($22k+) with very little drawdown, proving the robustness of the logic in strong bull markets.</w:t>
      </w:r>
    </w:p>
    <w:bookmarkEnd w:id="132"/>
    <w:bookmarkStart w:id="136" w:name="overall-strategy-performance"/>
    <w:p>
      <w:pPr>
        <w:pStyle w:val="Heading3"/>
      </w:pPr>
      <w:r>
        <w:t xml:space="preserve">Overall Strategy Performance</w:t>
      </w:r>
    </w:p>
    <w:p>
      <w:pPr>
        <w:pStyle w:val="FirstParagraph"/>
      </w:pPr>
      <w:r>
        <w:drawing>
          <wp:inline>
            <wp:extent cx="5334000" cy="2617896"/>
            <wp:effectExtent b="0" l="0" r="0" t="0"/>
            <wp:docPr descr="" title="" id="134" name="Picture"/>
            <a:graphic>
              <a:graphicData uri="http://schemas.openxmlformats.org/drawingml/2006/picture">
                <pic:pic>
                  <pic:nvPicPr>
                    <pic:cNvPr descr="final_report_word_files/figure-docx/cell-19-output-1.png" id="135" name="Picture"/>
                    <pic:cNvPicPr>
                      <a:picLocks noChangeArrowheads="1" noChangeAspect="1"/>
                    </pic:cNvPicPr>
                  </pic:nvPicPr>
                  <pic:blipFill>
                    <a:blip r:embed="rId133"/>
                    <a:stretch>
                      <a:fillRect/>
                    </a:stretch>
                  </pic:blipFill>
                  <pic:spPr bwMode="auto">
                    <a:xfrm>
                      <a:off x="0" y="0"/>
                      <a:ext cx="5334000" cy="2617896"/>
                    </a:xfrm>
                    <a:prstGeom prst="rect">
                      <a:avLst/>
                    </a:prstGeom>
                    <a:noFill/>
                    <a:ln w="9525">
                      <a:noFill/>
                      <a:headEnd/>
                      <a:tailEnd/>
                    </a:ln>
                  </pic:spPr>
                </pic:pic>
              </a:graphicData>
            </a:graphic>
          </wp:inline>
        </w:drawing>
      </w:r>
    </w:p>
    <w:bookmarkEnd w:id="136"/>
    <w:bookmarkEnd w:id="137"/>
    <w:bookmarkEnd w:id="138"/>
    <w:bookmarkStart w:id="141" w:name="summary-and-conclusions"/>
    <w:p>
      <w:pPr>
        <w:pStyle w:val="Heading1"/>
      </w:pPr>
      <w:r>
        <w:t xml:space="preserve">Summary and conclusions</w:t>
      </w:r>
    </w:p>
    <w:bookmarkStart w:id="139" w:name="group-1-1"/>
    <w:p>
      <w:pPr>
        <w:pStyle w:val="Heading2"/>
      </w:pPr>
      <w:r>
        <w:t xml:space="preserve">Group 1</w:t>
      </w:r>
    </w:p>
    <w:p>
      <w:pPr>
        <w:pStyle w:val="FirstParagraph"/>
      </w:pPr>
      <w:r>
        <w:t xml:space="preserve">Across the evaluated quarters, the Group 1 strategy demonstrates a clear</w:t>
      </w:r>
      <w:r>
        <w:t xml:space="preserve"> </w:t>
      </w:r>
      <w:r>
        <w:rPr>
          <w:b/>
          <w:bCs/>
        </w:rPr>
        <w:t xml:space="preserve">regime split</w:t>
      </w:r>
      <w:r>
        <w:t xml:space="preserve">: the NQ momentum breakout performs best when trends persist, while the SP mean‑reversion component performs best when prices oscillate around the slow EMA center.</w:t>
      </w:r>
      <w:r>
        <w:t xml:space="preserve"> </w:t>
      </w:r>
      <w:r>
        <w:t xml:space="preserve">This pairing reduces reliance on a single market condition and produces a more balanced behavior than applying one style universally.</w:t>
      </w:r>
      <w:r>
        <w:t xml:space="preserve"> </w:t>
      </w:r>
      <w:r>
        <w:t xml:space="preserve">However, the gross-to-net differences show that</w:t>
      </w:r>
      <w:r>
        <w:t xml:space="preserve"> </w:t>
      </w:r>
      <w:r>
        <w:rPr>
          <w:b/>
          <w:bCs/>
        </w:rPr>
        <w:t xml:space="preserve">cost assumptions are a key sensitivity</w:t>
      </w:r>
      <w:r>
        <w:t xml:space="preserve">, especially in lower-edge quarters when turnover remains non-trivial.</w:t>
      </w:r>
      <w:r>
        <w:t xml:space="preserve"> </w:t>
      </w:r>
      <w:r>
        <w:t xml:space="preserve">Overall, we consider the strategy to be</w:t>
      </w:r>
      <w:r>
        <w:t xml:space="preserve"> </w:t>
      </w:r>
      <w:r>
        <w:rPr>
          <w:b/>
          <w:bCs/>
        </w:rPr>
        <w:t xml:space="preserve">interpretable and economically plausible</w:t>
      </w:r>
      <w:r>
        <w:t xml:space="preserve"> </w:t>
      </w:r>
      <w:r>
        <w:t xml:space="preserve">on Group 1, provided that risk limits (drawdown control) and realistic execution/cost modeling are enforced.</w:t>
      </w:r>
    </w:p>
    <w:bookmarkEnd w:id="139"/>
    <w:bookmarkStart w:id="140" w:name="group-2-1"/>
    <w:p>
      <w:pPr>
        <w:pStyle w:val="Heading2"/>
      </w:pPr>
      <w:r>
        <w:t xml:space="preserve">Group 2</w:t>
      </w:r>
    </w:p>
    <w:p>
      <w:pPr>
        <w:pStyle w:val="FirstParagraph"/>
      </w:pPr>
      <w:r>
        <w:t xml:space="preserve">Our analysis of the metals complex led to the selection of a</w:t>
      </w:r>
      <w:r>
        <w:t xml:space="preserve"> </w:t>
      </w:r>
      <w:r>
        <w:rPr>
          <w:b/>
          <w:bCs/>
        </w:rPr>
        <w:t xml:space="preserve">Hybrid Volatility Breakout</w:t>
      </w:r>
      <w:r>
        <w:t xml:space="preserve"> </w:t>
      </w:r>
      <w:r>
        <w:t xml:space="preserve">strategy. The key findings are:</w:t>
      </w:r>
    </w:p>
    <w:p>
      <w:pPr>
        <w:pStyle w:val="Compact"/>
        <w:numPr>
          <w:ilvl w:val="0"/>
          <w:numId w:val="1025"/>
        </w:numPr>
      </w:pPr>
      <w:r>
        <w:rPr>
          <w:b/>
          <w:bCs/>
        </w:rPr>
        <w:t xml:space="preserve">Regime Separation:</w:t>
      </w:r>
      <w:r>
        <w:t xml:space="preserve"> </w:t>
      </w:r>
      <w:r>
        <w:t xml:space="preserve">Gold and Silver require different execution logic. Gold’s global liquidity supports a 24-hour trend-following approach, while Silver’s noise and high point-value risk necessitate a strict</w:t>
      </w:r>
      <w:r>
        <w:t xml:space="preserve"> </w:t>
      </w:r>
      <w:r>
        <w:t xml:space="preserve">“US-Session Only”</w:t>
      </w:r>
      <w:r>
        <w:t xml:space="preserve"> </w:t>
      </w:r>
      <w:r>
        <w:t xml:space="preserve">filter.</w:t>
      </w:r>
    </w:p>
    <w:p>
      <w:pPr>
        <w:pStyle w:val="Compact"/>
        <w:numPr>
          <w:ilvl w:val="0"/>
          <w:numId w:val="1025"/>
        </w:numPr>
      </w:pPr>
      <w:r>
        <w:rPr>
          <w:b/>
          <w:bCs/>
        </w:rPr>
        <w:t xml:space="preserve">Cost Management:</w:t>
      </w:r>
      <w:r>
        <w:t xml:space="preserve"> </w:t>
      </w:r>
      <w:r>
        <w:t xml:space="preserve">With fixed costs of $15 and $10 per trade, standard high-frequency signals fail. Extending lookback windows to 12h–24h was critical to increasing the average trade size enough to overcome the cost hurdle.</w:t>
      </w:r>
    </w:p>
    <w:p>
      <w:pPr>
        <w:pStyle w:val="Compact"/>
        <w:numPr>
          <w:ilvl w:val="0"/>
          <w:numId w:val="1025"/>
        </w:numPr>
      </w:pPr>
      <w:r>
        <w:rPr>
          <w:b/>
          <w:bCs/>
        </w:rPr>
        <w:t xml:space="preserve">Portfolio Resilience:</w:t>
      </w:r>
      <w:r>
        <w:t xml:space="preserve"> </w:t>
      </w:r>
      <w:r>
        <w:t xml:space="preserve">The combined strategy offers a robust profile. Gold provides the offensive capability to capture major trends, while Silver’s time-gating provides defensive diversification, often sitting out during periods of low-quality volatility.</w:t>
      </w:r>
    </w:p>
    <w:bookmarkEnd w:id="140"/>
    <w:bookmarkEnd w:id="14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29" Target="media/rId2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hyperlink" Id="rId21" Target="functions/position_VB.py" TargetMode="External" /></Relationships>
</file>

<file path=word/_rels/footnotes.xml.rels><?xml version="1.0" encoding="UTF-8"?><Relationships xmlns="http://schemas.openxmlformats.org/package/2006/relationships"><Relationship Type="http://schemas.openxmlformats.org/officeDocument/2006/relationships/hyperlink" Id="rId21" Target="functions/position_VB.p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Quantitative strategies on High Frequency Data</dc:title>
  <dc:creator>Sujith Madesh and Kacper Mosoń</dc:creator>
  <cp:keywords/>
  <dcterms:created xsi:type="dcterms:W3CDTF">2026-01-25T10:35:28Z</dcterms:created>
  <dcterms:modified xsi:type="dcterms:W3CDTF">2026-01-25T10:35:28Z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Jan 24, 2026</vt:lpwstr>
  </property>
  <property fmtid="{D5CDD505-2E9C-101B-9397-08002B2CF9AE}" pid="6" name="date-format">
    <vt:lpwstr>MMM D, YYYY</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subtitle">
    <vt:lpwstr>Final report</vt:lpwstr>
  </property>
  <property fmtid="{D5CDD505-2E9C-101B-9397-08002B2CF9AE}" pid="12" name="title-block-banner">
    <vt:lpwstr>True</vt:lpwstr>
  </property>
  <property fmtid="{D5CDD505-2E9C-101B-9397-08002B2CF9AE}" pid="13" name="toc-title">
    <vt:lpwstr>Table of contents</vt:lpwstr>
  </property>
</Properties>
</file>